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8379437"/>
        <w:docPartObj>
          <w:docPartGallery w:val="Cover Pages"/>
          <w:docPartUnique/>
        </w:docPartObj>
      </w:sdtPr>
      <w:sdtEndPr>
        <w:rPr>
          <w:b/>
          <w:bCs/>
          <w:sz w:val="28"/>
          <w:szCs w:val="28"/>
          <w:u w:val="single"/>
        </w:rPr>
      </w:sdtEndPr>
      <w:sdtContent>
        <w:p w14:paraId="682846E2" w14:textId="5E8DB6EC" w:rsidR="00997499" w:rsidRPr="00997499" w:rsidRDefault="00A61DBD" w:rsidP="00997499">
          <w:r>
            <w:rPr>
              <w:noProof/>
            </w:rPr>
            <mc:AlternateContent>
              <mc:Choice Requires="wps">
                <w:drawing>
                  <wp:anchor distT="0" distB="0" distL="114300" distR="114300" simplePos="0" relativeHeight="251661312" behindDoc="0" locked="0" layoutInCell="1" allowOverlap="1" wp14:anchorId="0FCDCBA7" wp14:editId="7DAF6DB2">
                    <wp:simplePos x="0" y="0"/>
                    <wp:positionH relativeFrom="margin">
                      <wp:align>center</wp:align>
                    </wp:positionH>
                    <wp:positionV relativeFrom="page">
                      <wp:posOffset>2950210</wp:posOffset>
                    </wp:positionV>
                    <wp:extent cx="7315200" cy="1009650"/>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9CAF7" w14:textId="5E95DBC0" w:rsidR="0003714A" w:rsidRPr="00EB2AB8" w:rsidRDefault="003010DF">
                                <w:pPr>
                                  <w:pStyle w:val="NoSpacing"/>
                                  <w:jc w:val="right"/>
                                  <w:rPr>
                                    <w:b/>
                                    <w:bCs/>
                                    <w:color w:val="4472C4" w:themeColor="accent1"/>
                                    <w:sz w:val="32"/>
                                    <w:szCs w:val="32"/>
                                    <w:u w:val="single"/>
                                  </w:rPr>
                                </w:pPr>
                                <w:r w:rsidRPr="00EB2AB8">
                                  <w:rPr>
                                    <w:b/>
                                    <w:bCs/>
                                    <w:color w:val="4472C4" w:themeColor="accent1"/>
                                    <w:sz w:val="32"/>
                                    <w:szCs w:val="32"/>
                                    <w:u w:val="single"/>
                                  </w:rPr>
                                  <w:t>Inequitable Discrepancies</w:t>
                                </w:r>
                                <w:r w:rsidR="007E4D65" w:rsidRPr="00EB2AB8">
                                  <w:rPr>
                                    <w:b/>
                                    <w:bCs/>
                                    <w:color w:val="4472C4" w:themeColor="accent1"/>
                                    <w:sz w:val="32"/>
                                    <w:szCs w:val="32"/>
                                    <w:u w:val="single"/>
                                  </w:rPr>
                                  <w:t>= Inequitable Outcomes</w:t>
                                </w:r>
                              </w:p>
                              <w:p w14:paraId="14FC6350" w14:textId="6545A3E7" w:rsidR="0003714A" w:rsidRDefault="002B0ACF" w:rsidP="002B0ACF">
                                <w:pPr>
                                  <w:pStyle w:val="NoSpacing"/>
                                  <w:rPr>
                                    <w:color w:val="595959" w:themeColor="text1" w:themeTint="A6"/>
                                    <w:sz w:val="20"/>
                                    <w:szCs w:val="20"/>
                                  </w:rPr>
                                </w:pPr>
                                <w:sdt>
                                  <w:sdtPr>
                                    <w:alias w:val="Abstract"/>
                                    <w:tag w:val=""/>
                                    <w:id w:val="1375273687"/>
                                    <w:dataBinding w:prefixMappings="xmlns:ns0='http://schemas.microsoft.com/office/2006/coverPageProps' " w:xpath="/ns0:CoverPageProperties[1]/ns0:Abstract[1]" w:storeItemID="{55AF091B-3C7A-41E3-B477-F2FDAA23CFDA}"/>
                                    <w:text w:multiLine="1"/>
                                  </w:sdtPr>
                                  <w:sdtContent>
                                    <w:r w:rsidRPr="00D50DB2">
                                      <w:t xml:space="preserve">In his </w:t>
                                    </w:r>
                                    <w:r w:rsidR="00D50DB2" w:rsidRPr="00D50DB2">
                                      <w:t>March</w:t>
                                    </w:r>
                                    <w:r w:rsidRPr="00D50DB2">
                                      <w:t xml:space="preserve"> 2021 amending proclamation, Governor Inslee stated, “…it is feared that the lack of in-person learning and other school-based supports may result in gaps in students’ learning and development that may last a lifetime”. The performing arts provide school-based supports for some of our most diverse and underserved populations. At a time when our state recognizes the fragile mental health of our students, we urge the Department of Health to recognize that students singing in a concert, playing an instrument, or performing a play or musical are no less valued than the students involved in sports. Just as the state has made it possible for young athletes to fully participate in their chosen activity unmasked, young artists must be given equitable access to their activities of choice. If cheerleaders can yell unmasked indoors, wrestlers can wrestle unmasked, there is no logical reason an actor cannot say lines, a singer sing notes and a musician play an instrument</w:t>
                                    </w:r>
                                    <w:r w:rsidR="004C618E">
                                      <w:t xml:space="preserve"> under similar guidance</w:t>
                                    </w:r>
                                    <w:r w:rsidRPr="00D50DB2">
                                      <w:t xml:space="preserve">. </w:t>
                                    </w:r>
                                    <w:r w:rsidR="002358BF">
                                      <w:br/>
                                    </w:r>
                                    <w:r w:rsidR="004C618E">
                                      <w:br/>
                                    </w:r>
                                    <w:r w:rsidRPr="00D50DB2">
                                      <w:t xml:space="preserve">Performing artists deserve equitable consideration of their extracurricular activities. </w:t>
                                    </w:r>
                                    <w:r w:rsidR="00137187">
                                      <w:t>T</w:t>
                                    </w:r>
                                    <w:r w:rsidRPr="00D50DB2">
                                      <w:t>he current guidance provides detailed consideration for student athletes</w:t>
                                    </w:r>
                                    <w:r w:rsidR="004516E4">
                                      <w:t xml:space="preserve"> but not for</w:t>
                                    </w:r>
                                    <w:r w:rsidRPr="00D50DB2">
                                      <w:t xml:space="preserve"> extracurricular performing art</w:t>
                                    </w:r>
                                    <w:r w:rsidR="008C25DA">
                                      <w:t>ists</w:t>
                                    </w:r>
                                    <w:r w:rsidRPr="00D50DB2">
                                      <w:t xml:space="preserve">. </w:t>
                                    </w:r>
                                    <w:r w:rsidR="00D40788">
                                      <w:t>Performing</w:t>
                                    </w:r>
                                    <w:r w:rsidRPr="00D50DB2">
                                      <w:t xml:space="preserve"> arts </w:t>
                                    </w:r>
                                    <w:r w:rsidR="008C79BE">
                                      <w:t>programs</w:t>
                                    </w:r>
                                    <w:r w:rsidRPr="00D50DB2">
                                      <w:t xml:space="preserve"> deserve the equal consideration for rehearsal and performances that </w:t>
                                    </w:r>
                                    <w:r w:rsidR="008C79BE">
                                      <w:t>sports</w:t>
                                    </w:r>
                                    <w:r w:rsidRPr="00D50DB2">
                                      <w:t xml:space="preserve"> are given for practice and competitions. In the </w:t>
                                    </w:r>
                                    <w:r w:rsidR="00362D34">
                                      <w:t>attached</w:t>
                                    </w:r>
                                    <w:r w:rsidRPr="00D50DB2">
                                      <w:t xml:space="preserve"> </w:t>
                                    </w:r>
                                    <w:r w:rsidR="007869A7">
                                      <w:t>chart</w:t>
                                    </w:r>
                                    <w:r w:rsidRPr="00D50DB2">
                                      <w:t>, current guidance is laid side by side with a column summarizing the obvious inequities. On behalf of theater teachers</w:t>
                                    </w:r>
                                    <w:r w:rsidR="007869A7">
                                      <w:t xml:space="preserve">, </w:t>
                                    </w:r>
                                    <w:r w:rsidR="007869A7" w:rsidRPr="00D50DB2">
                                      <w:t>directors,</w:t>
                                    </w:r>
                                    <w:r w:rsidRPr="00D50DB2">
                                      <w:t xml:space="preserve"> and other performing arts teachers throughout the state of Washington, we respectfully ask the Washington State Department of Health to revise the guidelines for Performing Arts to more accurately reflect the consideration given to </w:t>
                                    </w:r>
                                    <w:r w:rsidR="005E411C">
                                      <w:t>Sporting Activities</w:t>
                                    </w:r>
                                    <w:r w:rsidRPr="00D50DB2">
                                      <w:t>.</w:t>
                                    </w:r>
                                    <w:r w:rsidR="00D50DB2" w:rsidRPr="00D50DB2">
                                      <w:br/>
                                    </w:r>
                                  </w:sdtContent>
                                </w:sdt>
                                <w:r w:rsidR="00D233F2">
                                  <w:t>Thank you, in advance for your time</w:t>
                                </w:r>
                                <w:r w:rsidR="00EE27BF">
                                  <w:t>.</w:t>
                                </w:r>
                                <w:r w:rsidR="00E7163C">
                                  <w:t xml:space="preserve"> We look forward to </w:t>
                                </w:r>
                                <w:r w:rsidR="00997499">
                                  <w:t>changes to the guidance as soon as possible.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FCDCBA7" id="_x0000_t202" coordsize="21600,21600" o:spt="202" path="m,l,21600r21600,l21600,xe">
                    <v:stroke joinstyle="miter"/>
                    <v:path gradientshapeok="t" o:connecttype="rect"/>
                  </v:shapetype>
                  <v:shape id="Text Box 153" o:spid="_x0000_s1026" type="#_x0000_t202" style="position:absolute;margin-left:0;margin-top:232.3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" filled="f" stroked="f" strokeweight=".5pt">
                    <v:textbox style="mso-fit-shape-to-text:t" inset="126pt,0,54pt,0">
                      <w:txbxContent>
                        <w:p w14:paraId="6749CAF7" w14:textId="5E95DBC0" w:rsidR="0003714A" w:rsidRPr="00EB2AB8" w:rsidRDefault="003010DF">
                          <w:pPr>
                            <w:pStyle w:val="NoSpacing"/>
                            <w:jc w:val="right"/>
                            <w:rPr>
                              <w:b/>
                              <w:bCs/>
                              <w:color w:val="4472C4" w:themeColor="accent1"/>
                              <w:sz w:val="32"/>
                              <w:szCs w:val="32"/>
                              <w:u w:val="single"/>
                            </w:rPr>
                          </w:pPr>
                          <w:r w:rsidRPr="00EB2AB8">
                            <w:rPr>
                              <w:b/>
                              <w:bCs/>
                              <w:color w:val="4472C4" w:themeColor="accent1"/>
                              <w:sz w:val="32"/>
                              <w:szCs w:val="32"/>
                              <w:u w:val="single"/>
                            </w:rPr>
                            <w:t>Inequitable Discrepancies</w:t>
                          </w:r>
                          <w:r w:rsidR="007E4D65" w:rsidRPr="00EB2AB8">
                            <w:rPr>
                              <w:b/>
                              <w:bCs/>
                              <w:color w:val="4472C4" w:themeColor="accent1"/>
                              <w:sz w:val="32"/>
                              <w:szCs w:val="32"/>
                              <w:u w:val="single"/>
                            </w:rPr>
                            <w:t>= Inequitable Outcomes</w:t>
                          </w:r>
                        </w:p>
                        <w:p w14:paraId="14FC6350" w14:textId="6545A3E7" w:rsidR="0003714A" w:rsidRDefault="002B0ACF" w:rsidP="002B0ACF">
                          <w:pPr>
                            <w:pStyle w:val="NoSpacing"/>
                            <w:rPr>
                              <w:color w:val="595959" w:themeColor="text1" w:themeTint="A6"/>
                              <w:sz w:val="20"/>
                              <w:szCs w:val="20"/>
                            </w:rPr>
                          </w:pPr>
                          <w:sdt>
                            <w:sdtPr>
                              <w:alias w:val="Abstract"/>
                              <w:tag w:val=""/>
                              <w:id w:val="1375273687"/>
                              <w:dataBinding w:prefixMappings="xmlns:ns0='http://schemas.microsoft.com/office/2006/coverPageProps' " w:xpath="/ns0:CoverPageProperties[1]/ns0:Abstract[1]" w:storeItemID="{55AF091B-3C7A-41E3-B477-F2FDAA23CFDA}"/>
                              <w:text w:multiLine="1"/>
                            </w:sdtPr>
                            <w:sdtContent>
                              <w:r w:rsidRPr="00D50DB2">
                                <w:t xml:space="preserve">In his </w:t>
                              </w:r>
                              <w:r w:rsidR="00D50DB2" w:rsidRPr="00D50DB2">
                                <w:t>March</w:t>
                              </w:r>
                              <w:r w:rsidRPr="00D50DB2">
                                <w:t xml:space="preserve"> 2021 amending proclamation, Governor Inslee stated, “…it is feared that the lack of in-person learning and other school-based supports may result in gaps in students’ learning and development that may last a lifetime”. The performing arts provide school-based supports for some of our most diverse and underserved populations. At a time when our state recognizes the fragile mental health of our students, we urge the Department of Health to recognize that students singing in a concert, playing an instrument, or performing a play or musical are no less valued than the students involved in sports. Just as the state has made it possible for young athletes to fully participate in their chosen activity unmasked, young artists must be given equitable access to their activities of choice. If cheerleaders can yell unmasked indoors, wrestlers can wrestle unmasked, there is no logical reason an actor cannot say lines, a singer sing notes and a musician play an instrument</w:t>
                              </w:r>
                              <w:r w:rsidR="004C618E">
                                <w:t xml:space="preserve"> under similar guidance</w:t>
                              </w:r>
                              <w:r w:rsidRPr="00D50DB2">
                                <w:t xml:space="preserve">. </w:t>
                              </w:r>
                              <w:r w:rsidR="002358BF">
                                <w:br/>
                              </w:r>
                              <w:r w:rsidR="004C618E">
                                <w:br/>
                              </w:r>
                              <w:r w:rsidRPr="00D50DB2">
                                <w:t xml:space="preserve">Performing artists deserve equitable consideration of their extracurricular activities. </w:t>
                              </w:r>
                              <w:r w:rsidR="00137187">
                                <w:t>T</w:t>
                              </w:r>
                              <w:r w:rsidRPr="00D50DB2">
                                <w:t>he current guidance provides detailed consideration for student athletes</w:t>
                              </w:r>
                              <w:r w:rsidR="004516E4">
                                <w:t xml:space="preserve"> but not for</w:t>
                              </w:r>
                              <w:r w:rsidRPr="00D50DB2">
                                <w:t xml:space="preserve"> extracurricular performing art</w:t>
                              </w:r>
                              <w:r w:rsidR="008C25DA">
                                <w:t>ists</w:t>
                              </w:r>
                              <w:r w:rsidRPr="00D50DB2">
                                <w:t xml:space="preserve">. </w:t>
                              </w:r>
                              <w:r w:rsidR="00D40788">
                                <w:t>Performing</w:t>
                              </w:r>
                              <w:r w:rsidRPr="00D50DB2">
                                <w:t xml:space="preserve"> arts </w:t>
                              </w:r>
                              <w:r w:rsidR="008C79BE">
                                <w:t>programs</w:t>
                              </w:r>
                              <w:r w:rsidRPr="00D50DB2">
                                <w:t xml:space="preserve"> deserve the equal consideration for rehearsal and performances that </w:t>
                              </w:r>
                              <w:r w:rsidR="008C79BE">
                                <w:t>sports</w:t>
                              </w:r>
                              <w:r w:rsidRPr="00D50DB2">
                                <w:t xml:space="preserve"> are given for practice and competitions. In the </w:t>
                              </w:r>
                              <w:r w:rsidR="00362D34">
                                <w:t>attached</w:t>
                              </w:r>
                              <w:r w:rsidRPr="00D50DB2">
                                <w:t xml:space="preserve"> </w:t>
                              </w:r>
                              <w:r w:rsidR="007869A7">
                                <w:t>chart</w:t>
                              </w:r>
                              <w:r w:rsidRPr="00D50DB2">
                                <w:t>, current guidance is laid side by side with a column summarizing the obvious inequities. On behalf of theater teachers</w:t>
                              </w:r>
                              <w:r w:rsidR="007869A7">
                                <w:t xml:space="preserve">, </w:t>
                              </w:r>
                              <w:r w:rsidR="007869A7" w:rsidRPr="00D50DB2">
                                <w:t>directors,</w:t>
                              </w:r>
                              <w:r w:rsidRPr="00D50DB2">
                                <w:t xml:space="preserve"> and other performing arts teachers throughout the state of Washington, we respectfully ask the Washington State Department of Health to revise the guidelines for Performing Arts to more accurately reflect the consideration given to </w:t>
                              </w:r>
                              <w:r w:rsidR="005E411C">
                                <w:t>Sporting Activities</w:t>
                              </w:r>
                              <w:r w:rsidRPr="00D50DB2">
                                <w:t>.</w:t>
                              </w:r>
                              <w:r w:rsidR="00D50DB2" w:rsidRPr="00D50DB2">
                                <w:br/>
                              </w:r>
                            </w:sdtContent>
                          </w:sdt>
                          <w:r w:rsidR="00D233F2">
                            <w:t>Thank you, in advance for your time</w:t>
                          </w:r>
                          <w:r w:rsidR="00EE27BF">
                            <w:t>.</w:t>
                          </w:r>
                          <w:r w:rsidR="00E7163C">
                            <w:t xml:space="preserve"> We look forward to </w:t>
                          </w:r>
                          <w:r w:rsidR="00997499">
                            <w:t>changes to the guidance as soon as possible.</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E8E49D6" wp14:editId="7A6B3702">
                    <wp:simplePos x="0" y="0"/>
                    <wp:positionH relativeFrom="margin">
                      <wp:align>center</wp:align>
                    </wp:positionH>
                    <wp:positionV relativeFrom="margin">
                      <wp:posOffset>-352425</wp:posOffset>
                    </wp:positionV>
                    <wp:extent cx="7315200"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28E5A" w14:textId="18A0D733" w:rsidR="0003714A" w:rsidRDefault="0003714A">
                                <w:pPr>
                                  <w:jc w:val="right"/>
                                  <w:rPr>
                                    <w:color w:val="4472C4" w:themeColor="accent1"/>
                                    <w:sz w:val="64"/>
                                    <w:szCs w:val="64"/>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5B68" w:rsidRPr="00EB2AB8">
                                      <w:rPr>
                                        <w:caps/>
                                        <w:color w:val="4472C4" w:themeColor="accent1"/>
                                        <w:sz w:val="56"/>
                                        <w:szCs w:val="56"/>
                                      </w:rPr>
                                      <w:t>Comparison of sporting activities guidance to extracurricular performing arts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34BFA2C" w14:textId="54339ACC" w:rsidR="0003714A" w:rsidRDefault="0018163D">
                                    <w:pPr>
                                      <w:jc w:val="right"/>
                                      <w:rPr>
                                        <w:smallCaps/>
                                        <w:color w:val="404040" w:themeColor="text1" w:themeTint="BF"/>
                                        <w:sz w:val="36"/>
                                        <w:szCs w:val="36"/>
                                      </w:rPr>
                                    </w:pPr>
                                    <w:r>
                                      <w:rPr>
                                        <w:color w:val="404040" w:themeColor="text1" w:themeTint="BF"/>
                                        <w:sz w:val="36"/>
                                        <w:szCs w:val="36"/>
                                      </w:rPr>
                                      <w:t>WA State Department of Health K-12 Guidance released August 10, 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E8E49D6" id="Text Box 154" o:spid="_x0000_s1027" type="#_x0000_t202" style="position:absolute;margin-left:0;margin-top:-27.7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" filled="f" stroked="f" strokeweight=".5pt">
                    <v:textbox inset="126pt,0,54pt,0">
                      <w:txbxContent>
                        <w:p w14:paraId="4BF28E5A" w14:textId="18A0D733" w:rsidR="0003714A" w:rsidRDefault="0003714A">
                          <w:pPr>
                            <w:jc w:val="right"/>
                            <w:rPr>
                              <w:color w:val="4472C4" w:themeColor="accent1"/>
                              <w:sz w:val="64"/>
                              <w:szCs w:val="64"/>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5B68" w:rsidRPr="00EB2AB8">
                                <w:rPr>
                                  <w:caps/>
                                  <w:color w:val="4472C4" w:themeColor="accent1"/>
                                  <w:sz w:val="56"/>
                                  <w:szCs w:val="56"/>
                                </w:rPr>
                                <w:t>Comparison of sporting activities guidance to extracurricular performing arts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34BFA2C" w14:textId="54339ACC" w:rsidR="0003714A" w:rsidRDefault="0018163D">
                              <w:pPr>
                                <w:jc w:val="right"/>
                                <w:rPr>
                                  <w:smallCaps/>
                                  <w:color w:val="404040" w:themeColor="text1" w:themeTint="BF"/>
                                  <w:sz w:val="36"/>
                                  <w:szCs w:val="36"/>
                                </w:rPr>
                              </w:pPr>
                              <w:r>
                                <w:rPr>
                                  <w:color w:val="404040" w:themeColor="text1" w:themeTint="BF"/>
                                  <w:sz w:val="36"/>
                                  <w:szCs w:val="36"/>
                                </w:rPr>
                                <w:t>WA State Department of Health K-12 Guidance released August 10, 2021</w:t>
                              </w:r>
                            </w:p>
                          </w:sdtContent>
                        </w:sdt>
                      </w:txbxContent>
                    </v:textbox>
                    <w10:wrap type="square" anchorx="margin" anchory="margin"/>
                  </v:shape>
                </w:pict>
              </mc:Fallback>
            </mc:AlternateContent>
          </w:r>
          <w:r>
            <w:rPr>
              <w:noProof/>
            </w:rPr>
            <mc:AlternateContent>
              <mc:Choice Requires="wpg">
                <w:drawing>
                  <wp:anchor distT="0" distB="0" distL="114300" distR="114300" simplePos="0" relativeHeight="251662336" behindDoc="0" locked="0" layoutInCell="1" allowOverlap="1" wp14:anchorId="609FE72E" wp14:editId="63762A3F">
                    <wp:simplePos x="0" y="0"/>
                    <wp:positionH relativeFrom="margin">
                      <wp:align>center</wp:align>
                    </wp:positionH>
                    <wp:positionV relativeFrom="page">
                      <wp:posOffset>169545</wp:posOffset>
                    </wp:positionV>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B0355C5" id="Group 149" o:spid="_x0000_s1026" style="position:absolute;margin-left:0;margin-top:13.35pt;width:8in;height:95.7pt;z-index:251662336;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P/VgLz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r w:rsidR="00997499">
            <w:rPr>
              <w:noProof/>
            </w:rPr>
            <mc:AlternateContent>
              <mc:Choice Requires="wps">
                <w:drawing>
                  <wp:anchor distT="0" distB="0" distL="114300" distR="114300" simplePos="0" relativeHeight="251660288" behindDoc="0" locked="0" layoutInCell="1" allowOverlap="1" wp14:anchorId="232C1CD0" wp14:editId="7A5F4FB8">
                    <wp:simplePos x="0" y="0"/>
                    <wp:positionH relativeFrom="margin">
                      <wp:align>center</wp:align>
                    </wp:positionH>
                    <wp:positionV relativeFrom="page">
                      <wp:posOffset>6262370</wp:posOffset>
                    </wp:positionV>
                    <wp:extent cx="7315200" cy="914400"/>
                    <wp:effectExtent l="0" t="0" r="0" b="889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3D26D96" w14:textId="6E5B3C87" w:rsidR="0003714A" w:rsidRDefault="0003714A">
                                    <w:pPr>
                                      <w:pStyle w:val="NoSpacing"/>
                                      <w:jc w:val="right"/>
                                      <w:rPr>
                                        <w:color w:val="595959" w:themeColor="text1" w:themeTint="A6"/>
                                        <w:sz w:val="28"/>
                                        <w:szCs w:val="28"/>
                                      </w:rPr>
                                    </w:pPr>
                                    <w:r>
                                      <w:rPr>
                                        <w:color w:val="595959" w:themeColor="text1" w:themeTint="A6"/>
                                        <w:sz w:val="28"/>
                                        <w:szCs w:val="28"/>
                                      </w:rPr>
                                      <w:t>Suzanne Maguire</w:t>
                                    </w:r>
                                    <w:r w:rsidR="0018163D">
                                      <w:rPr>
                                        <w:color w:val="595959" w:themeColor="text1" w:themeTint="A6"/>
                                        <w:sz w:val="28"/>
                                        <w:szCs w:val="28"/>
                                      </w:rPr>
                                      <w:t xml:space="preserve"> – Teacher</w:t>
                                    </w:r>
                                    <w:r w:rsidR="00E9389C">
                                      <w:rPr>
                                        <w:color w:val="595959" w:themeColor="text1" w:themeTint="A6"/>
                                        <w:sz w:val="28"/>
                                        <w:szCs w:val="28"/>
                                      </w:rPr>
                                      <w:t xml:space="preserve">; </w:t>
                                    </w:r>
                                    <w:r w:rsidR="0018163D">
                                      <w:rPr>
                                        <w:color w:val="595959" w:themeColor="text1" w:themeTint="A6"/>
                                        <w:sz w:val="28"/>
                                        <w:szCs w:val="28"/>
                                      </w:rPr>
                                      <w:t>Board Member, WA State Thespians</w:t>
                                    </w:r>
                                  </w:p>
                                </w:sdtContent>
                              </w:sdt>
                              <w:p w14:paraId="3AC2C8C4" w14:textId="5EB3D851" w:rsidR="0003714A" w:rsidRDefault="0003714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18163D">
                                      <w:rPr>
                                        <w:color w:val="595959" w:themeColor="text1" w:themeTint="A6"/>
                                        <w:sz w:val="18"/>
                                        <w:szCs w:val="18"/>
                                      </w:rPr>
                                      <w:t>suzannem@spokaneschools.org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32C1CD0" id="Text Box 152" o:spid="_x0000_s1028" type="#_x0000_t202" style="position:absolute;margin-left:0;margin-top:493.1pt;width:8in;height:1in;z-index:251660288;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3D26D96" w14:textId="6E5B3C87" w:rsidR="0003714A" w:rsidRDefault="0003714A">
                              <w:pPr>
                                <w:pStyle w:val="NoSpacing"/>
                                <w:jc w:val="right"/>
                                <w:rPr>
                                  <w:color w:val="595959" w:themeColor="text1" w:themeTint="A6"/>
                                  <w:sz w:val="28"/>
                                  <w:szCs w:val="28"/>
                                </w:rPr>
                              </w:pPr>
                              <w:r>
                                <w:rPr>
                                  <w:color w:val="595959" w:themeColor="text1" w:themeTint="A6"/>
                                  <w:sz w:val="28"/>
                                  <w:szCs w:val="28"/>
                                </w:rPr>
                                <w:t>Suzanne Maguire</w:t>
                              </w:r>
                              <w:r w:rsidR="0018163D">
                                <w:rPr>
                                  <w:color w:val="595959" w:themeColor="text1" w:themeTint="A6"/>
                                  <w:sz w:val="28"/>
                                  <w:szCs w:val="28"/>
                                </w:rPr>
                                <w:t xml:space="preserve"> – Teacher</w:t>
                              </w:r>
                              <w:r w:rsidR="00E9389C">
                                <w:rPr>
                                  <w:color w:val="595959" w:themeColor="text1" w:themeTint="A6"/>
                                  <w:sz w:val="28"/>
                                  <w:szCs w:val="28"/>
                                </w:rPr>
                                <w:t xml:space="preserve">; </w:t>
                              </w:r>
                              <w:r w:rsidR="0018163D">
                                <w:rPr>
                                  <w:color w:val="595959" w:themeColor="text1" w:themeTint="A6"/>
                                  <w:sz w:val="28"/>
                                  <w:szCs w:val="28"/>
                                </w:rPr>
                                <w:t>Board Member, WA State Thespians</w:t>
                              </w:r>
                            </w:p>
                          </w:sdtContent>
                        </w:sdt>
                        <w:p w14:paraId="3AC2C8C4" w14:textId="5EB3D851" w:rsidR="0003714A" w:rsidRDefault="0003714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18163D">
                                <w:rPr>
                                  <w:color w:val="595959" w:themeColor="text1" w:themeTint="A6"/>
                                  <w:sz w:val="18"/>
                                  <w:szCs w:val="18"/>
                                </w:rPr>
                                <w:t>suzannem@spokaneschools.org</w:t>
                              </w:r>
                            </w:sdtContent>
                          </w:sdt>
                        </w:p>
                      </w:txbxContent>
                    </v:textbox>
                    <w10:wrap type="square" anchorx="margin" anchory="page"/>
                  </v:shape>
                </w:pict>
              </mc:Fallback>
            </mc:AlternateContent>
          </w:r>
        </w:p>
      </w:sdtContent>
    </w:sdt>
    <w:p w14:paraId="04E25D55" w14:textId="327C5DD3" w:rsidR="00B06A1B" w:rsidRPr="00B06A1B" w:rsidRDefault="00680044" w:rsidP="00997499">
      <w:pPr>
        <w:rPr>
          <w:b/>
          <w:bCs/>
          <w:sz w:val="28"/>
          <w:szCs w:val="28"/>
          <w:u w:val="single"/>
        </w:rPr>
      </w:pPr>
      <w:r w:rsidRPr="00B06A1B">
        <w:rPr>
          <w:b/>
          <w:bCs/>
          <w:sz w:val="28"/>
          <w:szCs w:val="28"/>
          <w:u w:val="single"/>
        </w:rPr>
        <w:lastRenderedPageBreak/>
        <w:t xml:space="preserve">COMPARISON OF </w:t>
      </w:r>
      <w:r w:rsidR="00316D09" w:rsidRPr="00B06A1B">
        <w:rPr>
          <w:b/>
          <w:bCs/>
          <w:sz w:val="28"/>
          <w:szCs w:val="28"/>
          <w:u w:val="single"/>
        </w:rPr>
        <w:t>SPORTING ACTIVITIES</w:t>
      </w:r>
      <w:r w:rsidRPr="00B06A1B">
        <w:rPr>
          <w:b/>
          <w:bCs/>
          <w:sz w:val="28"/>
          <w:szCs w:val="28"/>
          <w:u w:val="single"/>
        </w:rPr>
        <w:t xml:space="preserve"> GUIDANCE VS. </w:t>
      </w:r>
      <w:r w:rsidR="00316D09" w:rsidRPr="00B06A1B">
        <w:rPr>
          <w:b/>
          <w:bCs/>
          <w:sz w:val="28"/>
          <w:szCs w:val="28"/>
          <w:u w:val="single"/>
        </w:rPr>
        <w:t xml:space="preserve">EXTRACURRICULAR </w:t>
      </w:r>
      <w:r w:rsidRPr="00B06A1B">
        <w:rPr>
          <w:b/>
          <w:bCs/>
          <w:sz w:val="28"/>
          <w:szCs w:val="28"/>
          <w:u w:val="single"/>
        </w:rPr>
        <w:t>PERFORMING ARTS GUIDANCE – Side by Side comparison:</w:t>
      </w:r>
    </w:p>
    <w:p w14:paraId="3397E1D4" w14:textId="77777777" w:rsidR="00B06A1B" w:rsidRDefault="00B4576C" w:rsidP="00B06A1B">
      <w:pPr>
        <w:pStyle w:val="NoSpacing"/>
      </w:pPr>
      <w:hyperlink r:id="rId10" w:history="1">
        <w:r w:rsidR="00680044" w:rsidRPr="00680044">
          <w:rPr>
            <w:rStyle w:val="Hyperlink"/>
          </w:rPr>
          <w:t>SPORTING ACTIVITIES, FITNESS AND TRAINING GUIDANCE</w:t>
        </w:r>
      </w:hyperlink>
      <w:r w:rsidR="00F31314">
        <w:t xml:space="preserve">  </w:t>
      </w:r>
    </w:p>
    <w:p w14:paraId="4898D9E4" w14:textId="7B6D8518" w:rsidR="00680044" w:rsidRDefault="00680044" w:rsidP="00B06A1B">
      <w:pPr>
        <w:pStyle w:val="NoSpacing"/>
      </w:pPr>
      <w:r>
        <w:t xml:space="preserve">*Please note that, unlike </w:t>
      </w:r>
      <w:hyperlink r:id="rId11" w:history="1">
        <w:r w:rsidRPr="00EC5E52">
          <w:rPr>
            <w:rStyle w:val="Hyperlink"/>
          </w:rPr>
          <w:t>previous guidance</w:t>
        </w:r>
      </w:hyperlink>
      <w:r>
        <w:t xml:space="preserve">, there is NO Performing Arts guidance document linked in the </w:t>
      </w:r>
      <w:hyperlink r:id="rId12" w:history="1">
        <w:r w:rsidRPr="00680044">
          <w:rPr>
            <w:rStyle w:val="Hyperlink"/>
          </w:rPr>
          <w:t>K-12 Requirements 2021-2022</w:t>
        </w:r>
      </w:hyperlink>
    </w:p>
    <w:p w14:paraId="5D208441" w14:textId="201AB0C1" w:rsidR="00EC5E52" w:rsidRDefault="00EC5E52">
      <w:r>
        <w:t>GUIDANCE BEGINS ON P. 13. Please note – “Sporting Activities” includes 3 pages of guidance while Extracurricular Performing Arts Performances and Activities includes just 7 bullet points</w:t>
      </w:r>
      <w:r w:rsidR="00D55AE0">
        <w:t xml:space="preserve"> </w:t>
      </w:r>
      <w:r w:rsidR="005271E1">
        <w:t>for all aspects of guidance</w:t>
      </w:r>
      <w:r>
        <w:t>.</w:t>
      </w:r>
    </w:p>
    <w:tbl>
      <w:tblPr>
        <w:tblStyle w:val="TableGrid"/>
        <w:tblW w:w="0" w:type="auto"/>
        <w:tblLook w:val="04A0" w:firstRow="1" w:lastRow="0" w:firstColumn="1" w:lastColumn="0" w:noHBand="0" w:noVBand="1"/>
      </w:tblPr>
      <w:tblGrid>
        <w:gridCol w:w="4796"/>
        <w:gridCol w:w="4797"/>
        <w:gridCol w:w="4797"/>
      </w:tblGrid>
      <w:tr w:rsidR="00DF4B5E" w14:paraId="0D8A49F6" w14:textId="77777777" w:rsidTr="000A39BB">
        <w:tc>
          <w:tcPr>
            <w:tcW w:w="9593" w:type="dxa"/>
            <w:gridSpan w:val="2"/>
            <w:shd w:val="clear" w:color="auto" w:fill="AEAAAA" w:themeFill="background2" w:themeFillShade="BF"/>
          </w:tcPr>
          <w:p w14:paraId="6D903282" w14:textId="73825B75" w:rsidR="00DF4B5E" w:rsidRPr="00201A03" w:rsidRDefault="00DF4B5E" w:rsidP="00316D09">
            <w:pPr>
              <w:jc w:val="center"/>
              <w:rPr>
                <w:b/>
                <w:bCs/>
                <w:sz w:val="28"/>
                <w:szCs w:val="28"/>
              </w:rPr>
            </w:pPr>
            <w:r w:rsidRPr="00201A03">
              <w:rPr>
                <w:b/>
                <w:bCs/>
                <w:sz w:val="28"/>
                <w:szCs w:val="28"/>
              </w:rPr>
              <w:t>MASKING GUIDANCE</w:t>
            </w:r>
          </w:p>
        </w:tc>
        <w:tc>
          <w:tcPr>
            <w:tcW w:w="4797" w:type="dxa"/>
            <w:vMerge w:val="restart"/>
            <w:shd w:val="clear" w:color="auto" w:fill="D0CECE" w:themeFill="background2" w:themeFillShade="E6"/>
          </w:tcPr>
          <w:p w14:paraId="4FEE8C54" w14:textId="749FC238" w:rsidR="00DF4B5E" w:rsidRPr="000A39BB" w:rsidRDefault="00DF4B5E" w:rsidP="002954C7">
            <w:pPr>
              <w:jc w:val="center"/>
              <w:rPr>
                <w:b/>
                <w:bCs/>
                <w:sz w:val="32"/>
                <w:szCs w:val="32"/>
              </w:rPr>
            </w:pPr>
            <w:r w:rsidRPr="000A39BB">
              <w:rPr>
                <w:b/>
                <w:bCs/>
                <w:sz w:val="32"/>
                <w:szCs w:val="32"/>
              </w:rPr>
              <w:t>INEQUITABLE DISCREPENCIES</w:t>
            </w:r>
          </w:p>
        </w:tc>
      </w:tr>
      <w:tr w:rsidR="00DF4B5E" w:rsidRPr="00316D09" w14:paraId="20D787B4" w14:textId="77777777" w:rsidTr="000A39BB">
        <w:tc>
          <w:tcPr>
            <w:tcW w:w="4796" w:type="dxa"/>
            <w:shd w:val="clear" w:color="auto" w:fill="E2EFD9" w:themeFill="accent6" w:themeFillTint="33"/>
          </w:tcPr>
          <w:p w14:paraId="1FD052F1" w14:textId="77777777" w:rsidR="00F92F32" w:rsidRDefault="00DF4B5E" w:rsidP="002954C7">
            <w:pPr>
              <w:jc w:val="center"/>
              <w:rPr>
                <w:b/>
                <w:bCs/>
                <w:sz w:val="24"/>
                <w:szCs w:val="24"/>
              </w:rPr>
            </w:pPr>
            <w:r w:rsidRPr="00DF4B5E">
              <w:rPr>
                <w:b/>
                <w:bCs/>
                <w:sz w:val="24"/>
                <w:szCs w:val="24"/>
              </w:rPr>
              <w:t>SPORTING ACTIVITIES</w:t>
            </w:r>
          </w:p>
          <w:p w14:paraId="06162A0B" w14:textId="42853E8F" w:rsidR="00DF4B5E" w:rsidRPr="006A3565" w:rsidRDefault="00F92F32" w:rsidP="002954C7">
            <w:pPr>
              <w:jc w:val="center"/>
              <w:rPr>
                <w:b/>
                <w:bCs/>
                <w:sz w:val="20"/>
                <w:szCs w:val="20"/>
              </w:rPr>
            </w:pPr>
            <w:r w:rsidRPr="006A3565">
              <w:rPr>
                <w:b/>
                <w:bCs/>
                <w:sz w:val="20"/>
                <w:szCs w:val="20"/>
              </w:rPr>
              <w:t>(</w:t>
            </w:r>
            <w:r w:rsidR="006A3565" w:rsidRPr="006A3565">
              <w:rPr>
                <w:b/>
                <w:bCs/>
                <w:sz w:val="20"/>
                <w:szCs w:val="20"/>
              </w:rPr>
              <w:t>Copied</w:t>
            </w:r>
            <w:r w:rsidRPr="006A3565">
              <w:rPr>
                <w:b/>
                <w:bCs/>
                <w:sz w:val="20"/>
                <w:szCs w:val="20"/>
              </w:rPr>
              <w:t xml:space="preserve"> from </w:t>
            </w:r>
            <w:r w:rsidR="006A3565" w:rsidRPr="006A3565">
              <w:rPr>
                <w:b/>
                <w:bCs/>
                <w:sz w:val="20"/>
                <w:szCs w:val="20"/>
              </w:rPr>
              <w:t>p.14-15)</w:t>
            </w:r>
            <w:r w:rsidR="00DF4B5E" w:rsidRPr="006A3565">
              <w:rPr>
                <w:b/>
                <w:bCs/>
                <w:sz w:val="20"/>
                <w:szCs w:val="20"/>
              </w:rPr>
              <w:t xml:space="preserve"> </w:t>
            </w:r>
          </w:p>
        </w:tc>
        <w:tc>
          <w:tcPr>
            <w:tcW w:w="4797" w:type="dxa"/>
            <w:shd w:val="clear" w:color="auto" w:fill="E7E6E6" w:themeFill="background2"/>
          </w:tcPr>
          <w:p w14:paraId="6433AE54" w14:textId="77777777" w:rsidR="00DF4B5E" w:rsidRDefault="00DF4B5E" w:rsidP="002954C7">
            <w:pPr>
              <w:jc w:val="center"/>
              <w:rPr>
                <w:b/>
                <w:bCs/>
                <w:sz w:val="24"/>
                <w:szCs w:val="24"/>
              </w:rPr>
            </w:pPr>
            <w:r w:rsidRPr="00DF4B5E">
              <w:rPr>
                <w:b/>
                <w:bCs/>
                <w:sz w:val="24"/>
                <w:szCs w:val="24"/>
              </w:rPr>
              <w:t>PERFORMING ARTS</w:t>
            </w:r>
            <w:r w:rsidRPr="00DF4B5E">
              <w:rPr>
                <w:b/>
                <w:bCs/>
                <w:sz w:val="24"/>
                <w:szCs w:val="24"/>
              </w:rPr>
              <w:t xml:space="preserve"> </w:t>
            </w:r>
          </w:p>
          <w:p w14:paraId="1B578F43" w14:textId="0DB17E00" w:rsidR="006A3565" w:rsidRPr="006A3565" w:rsidRDefault="006A3565" w:rsidP="002954C7">
            <w:pPr>
              <w:jc w:val="center"/>
              <w:rPr>
                <w:b/>
                <w:bCs/>
                <w:sz w:val="20"/>
                <w:szCs w:val="20"/>
              </w:rPr>
            </w:pPr>
            <w:r>
              <w:rPr>
                <w:b/>
                <w:bCs/>
                <w:sz w:val="20"/>
                <w:szCs w:val="20"/>
              </w:rPr>
              <w:t>(Copied from p.17)</w:t>
            </w:r>
          </w:p>
        </w:tc>
        <w:tc>
          <w:tcPr>
            <w:tcW w:w="4797" w:type="dxa"/>
            <w:vMerge/>
            <w:shd w:val="clear" w:color="auto" w:fill="D0CECE" w:themeFill="background2" w:themeFillShade="E6"/>
          </w:tcPr>
          <w:p w14:paraId="091FB7B6" w14:textId="06565A4B" w:rsidR="00DF4B5E" w:rsidRPr="00DF4B5E" w:rsidRDefault="00DF4B5E" w:rsidP="002954C7">
            <w:pPr>
              <w:jc w:val="center"/>
              <w:rPr>
                <w:b/>
                <w:bCs/>
                <w:sz w:val="24"/>
                <w:szCs w:val="24"/>
              </w:rPr>
            </w:pPr>
          </w:p>
        </w:tc>
      </w:tr>
      <w:tr w:rsidR="00EC5E52" w14:paraId="7FE30FAB" w14:textId="77777777" w:rsidTr="000A39BB">
        <w:tc>
          <w:tcPr>
            <w:tcW w:w="4796" w:type="dxa"/>
            <w:shd w:val="clear" w:color="auto" w:fill="E2EFD9" w:themeFill="accent6" w:themeFillTint="33"/>
          </w:tcPr>
          <w:p w14:paraId="2A43EAE7" w14:textId="77777777" w:rsidR="00F31314" w:rsidRDefault="00F31314" w:rsidP="00F31314">
            <w:pPr>
              <w:pStyle w:val="Heading2"/>
              <w:spacing w:before="1"/>
              <w:outlineLvl w:val="1"/>
              <w:rPr>
                <w:rFonts w:ascii="Century Gothic"/>
              </w:rPr>
            </w:pPr>
            <w:r>
              <w:rPr>
                <w:rFonts w:ascii="Century Gothic"/>
              </w:rPr>
              <w:t>Mask</w:t>
            </w:r>
            <w:r>
              <w:rPr>
                <w:rFonts w:ascii="Century Gothic"/>
                <w:spacing w:val="-1"/>
              </w:rPr>
              <w:t xml:space="preserve"> </w:t>
            </w:r>
            <w:r>
              <w:rPr>
                <w:rFonts w:ascii="Century Gothic"/>
              </w:rPr>
              <w:t>Requirements for Sporting Activities</w:t>
            </w:r>
          </w:p>
          <w:p w14:paraId="0A9765C1" w14:textId="005D4385" w:rsidR="00F31314" w:rsidRDefault="00F31314" w:rsidP="00F31314">
            <w:pPr>
              <w:pStyle w:val="ListParagraph"/>
              <w:numPr>
                <w:ilvl w:val="0"/>
                <w:numId w:val="1"/>
              </w:numPr>
              <w:tabs>
                <w:tab w:val="left" w:pos="900"/>
                <w:tab w:val="left" w:pos="901"/>
              </w:tabs>
              <w:spacing w:before="116"/>
              <w:ind w:right="582"/>
              <w:rPr>
                <w:rFonts w:ascii="Symbol" w:hAnsi="Symbol"/>
                <w:sz w:val="24"/>
              </w:rPr>
            </w:pPr>
            <w:r>
              <w:rPr>
                <w:b/>
                <w:sz w:val="24"/>
              </w:rPr>
              <w:t xml:space="preserve">Universal masking is required by all athletes, coaches, athletic </w:t>
            </w:r>
            <w:r w:rsidR="00DA2E7C">
              <w:rPr>
                <w:b/>
                <w:sz w:val="24"/>
              </w:rPr>
              <w:t>trainers,</w:t>
            </w:r>
            <w:r>
              <w:rPr>
                <w:b/>
                <w:sz w:val="24"/>
              </w:rPr>
              <w:t xml:space="preserve"> and support</w:t>
            </w:r>
            <w:r>
              <w:rPr>
                <w:b/>
                <w:spacing w:val="1"/>
                <w:sz w:val="24"/>
              </w:rPr>
              <w:t xml:space="preserve"> </w:t>
            </w:r>
            <w:r>
              <w:rPr>
                <w:b/>
                <w:sz w:val="24"/>
              </w:rPr>
              <w:t xml:space="preserve">personnel when in weight rooms, regardless of vaccination status. </w:t>
            </w:r>
            <w:r>
              <w:rPr>
                <w:sz w:val="24"/>
              </w:rPr>
              <w:t>Weight rooms are</w:t>
            </w:r>
            <w:r>
              <w:rPr>
                <w:spacing w:val="-52"/>
                <w:sz w:val="24"/>
              </w:rPr>
              <w:t xml:space="preserve"> </w:t>
            </w:r>
            <w:r>
              <w:rPr>
                <w:sz w:val="24"/>
              </w:rPr>
              <w:t>high-risk indoor settings. They are often poorly ventilated, crowded and used by</w:t>
            </w:r>
            <w:r>
              <w:rPr>
                <w:spacing w:val="1"/>
                <w:sz w:val="24"/>
              </w:rPr>
              <w:t xml:space="preserve"> </w:t>
            </w:r>
            <w:r>
              <w:rPr>
                <w:sz w:val="24"/>
              </w:rPr>
              <w:t>athletes from sports of multiple contact levels, as well as PE students. Practice physical</w:t>
            </w:r>
            <w:r>
              <w:rPr>
                <w:spacing w:val="-52"/>
                <w:sz w:val="24"/>
              </w:rPr>
              <w:t xml:space="preserve"> </w:t>
            </w:r>
            <w:r>
              <w:rPr>
                <w:sz w:val="24"/>
              </w:rPr>
              <w:t>distancing</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degree</w:t>
            </w:r>
            <w:r>
              <w:rPr>
                <w:spacing w:val="-1"/>
                <w:sz w:val="24"/>
              </w:rPr>
              <w:t xml:space="preserve"> </w:t>
            </w:r>
            <w:r>
              <w:rPr>
                <w:sz w:val="24"/>
              </w:rPr>
              <w:t>possible.</w:t>
            </w:r>
          </w:p>
          <w:p w14:paraId="6D275BAD" w14:textId="77777777" w:rsidR="00F31314" w:rsidRDefault="00F31314" w:rsidP="00F31314">
            <w:pPr>
              <w:pStyle w:val="ListParagraph"/>
              <w:numPr>
                <w:ilvl w:val="0"/>
                <w:numId w:val="1"/>
              </w:numPr>
              <w:tabs>
                <w:tab w:val="left" w:pos="900"/>
                <w:tab w:val="left" w:pos="901"/>
              </w:tabs>
              <w:spacing w:before="1"/>
              <w:ind w:right="644"/>
              <w:rPr>
                <w:rFonts w:ascii="Symbol" w:hAnsi="Symbol"/>
                <w:sz w:val="24"/>
              </w:rPr>
            </w:pPr>
            <w:r>
              <w:rPr>
                <w:b/>
                <w:sz w:val="24"/>
              </w:rPr>
              <w:t>Masks are not required for athletes while competing in low-contact or moderate-</w:t>
            </w:r>
            <w:r>
              <w:rPr>
                <w:b/>
                <w:spacing w:val="1"/>
                <w:sz w:val="24"/>
              </w:rPr>
              <w:t xml:space="preserve"> </w:t>
            </w:r>
            <w:r>
              <w:rPr>
                <w:b/>
                <w:sz w:val="24"/>
              </w:rPr>
              <w:t xml:space="preserve">contact sports indoors, regardless of vaccination status. </w:t>
            </w:r>
            <w:r>
              <w:rPr>
                <w:sz w:val="24"/>
              </w:rPr>
              <w:t>Masks are encouraged when</w:t>
            </w:r>
            <w:r>
              <w:rPr>
                <w:spacing w:val="-53"/>
                <w:sz w:val="24"/>
              </w:rPr>
              <w:t xml:space="preserve"> </w:t>
            </w:r>
            <w:r>
              <w:rPr>
                <w:sz w:val="24"/>
              </w:rPr>
              <w:t xml:space="preserve">practicing indoors. Universal masking is required </w:t>
            </w:r>
            <w:r>
              <w:rPr>
                <w:sz w:val="24"/>
              </w:rPr>
              <w:lastRenderedPageBreak/>
              <w:t>indoors when not practicing or</w:t>
            </w:r>
            <w:r>
              <w:rPr>
                <w:spacing w:val="1"/>
                <w:sz w:val="24"/>
              </w:rPr>
              <w:t xml:space="preserve"> </w:t>
            </w:r>
            <w:r>
              <w:rPr>
                <w:sz w:val="24"/>
              </w:rPr>
              <w:t>competing. Contact risk levels for individual sports are referenced in DOH’s</w:t>
            </w:r>
            <w:r>
              <w:rPr>
                <w:color w:val="0562C1"/>
                <w:sz w:val="24"/>
              </w:rPr>
              <w:t xml:space="preserve"> </w:t>
            </w:r>
            <w:hyperlink r:id="rId13">
              <w:r>
                <w:rPr>
                  <w:color w:val="0562C1"/>
                  <w:sz w:val="24"/>
                  <w:u w:val="single" w:color="0562C1"/>
                </w:rPr>
                <w:t>Guidance</w:t>
              </w:r>
            </w:hyperlink>
            <w:r>
              <w:rPr>
                <w:color w:val="0562C1"/>
                <w:spacing w:val="1"/>
                <w:sz w:val="24"/>
              </w:rPr>
              <w:t xml:space="preserve"> </w:t>
            </w:r>
            <w:hyperlink r:id="rId14">
              <w:r>
                <w:rPr>
                  <w:color w:val="0562C1"/>
                  <w:sz w:val="24"/>
                  <w:u w:val="single" w:color="0562C1"/>
                </w:rPr>
                <w:t>for Sports and</w:t>
              </w:r>
              <w:r>
                <w:rPr>
                  <w:color w:val="0562C1"/>
                  <w:spacing w:val="1"/>
                  <w:sz w:val="24"/>
                  <w:u w:val="single" w:color="0562C1"/>
                </w:rPr>
                <w:t xml:space="preserve"> </w:t>
              </w:r>
              <w:r>
                <w:rPr>
                  <w:color w:val="0562C1"/>
                  <w:sz w:val="24"/>
                  <w:u w:val="single" w:color="0562C1"/>
                </w:rPr>
                <w:t>Fitness Activities</w:t>
              </w:r>
            </w:hyperlink>
            <w:r>
              <w:rPr>
                <w:sz w:val="24"/>
              </w:rPr>
              <w:t>.</w:t>
            </w:r>
          </w:p>
          <w:p w14:paraId="53B54477" w14:textId="77777777" w:rsidR="00F31314" w:rsidRDefault="00F31314" w:rsidP="00F31314">
            <w:pPr>
              <w:pStyle w:val="ListParagraph"/>
              <w:numPr>
                <w:ilvl w:val="0"/>
                <w:numId w:val="1"/>
              </w:numPr>
              <w:tabs>
                <w:tab w:val="left" w:pos="900"/>
                <w:tab w:val="left" w:pos="901"/>
              </w:tabs>
              <w:spacing w:before="1"/>
              <w:ind w:right="518"/>
              <w:rPr>
                <w:rFonts w:ascii="Symbol" w:hAnsi="Symbol"/>
                <w:sz w:val="24"/>
              </w:rPr>
            </w:pPr>
            <w:r>
              <w:rPr>
                <w:b/>
                <w:sz w:val="24"/>
              </w:rPr>
              <w:t>Masks are not required for fully vaccinated athletes competing in high-contact indoor</w:t>
            </w:r>
            <w:r>
              <w:rPr>
                <w:b/>
                <w:spacing w:val="-52"/>
                <w:sz w:val="24"/>
              </w:rPr>
              <w:t xml:space="preserve"> </w:t>
            </w:r>
            <w:r>
              <w:rPr>
                <w:b/>
                <w:sz w:val="24"/>
              </w:rPr>
              <w:t>sports. Masks are not required for unvaccinated athletes competing in high-contact</w:t>
            </w:r>
            <w:r>
              <w:rPr>
                <w:b/>
                <w:spacing w:val="1"/>
                <w:sz w:val="24"/>
              </w:rPr>
              <w:t xml:space="preserve"> </w:t>
            </w:r>
            <w:r>
              <w:rPr>
                <w:b/>
                <w:sz w:val="24"/>
              </w:rPr>
              <w:t xml:space="preserve">indoor sports if they participate in screening testing. </w:t>
            </w:r>
            <w:r>
              <w:rPr>
                <w:sz w:val="24"/>
              </w:rPr>
              <w:t>Masks are encouraged when</w:t>
            </w:r>
            <w:r>
              <w:rPr>
                <w:spacing w:val="1"/>
                <w:sz w:val="24"/>
              </w:rPr>
              <w:t xml:space="preserve"> </w:t>
            </w:r>
            <w:r>
              <w:rPr>
                <w:sz w:val="24"/>
              </w:rPr>
              <w:t xml:space="preserve">practicing indoors. </w:t>
            </w:r>
            <w:r>
              <w:rPr>
                <w:b/>
                <w:sz w:val="24"/>
              </w:rPr>
              <w:t>Universal masking is required indoors when not practicing or</w:t>
            </w:r>
            <w:r>
              <w:rPr>
                <w:b/>
                <w:spacing w:val="1"/>
                <w:sz w:val="24"/>
              </w:rPr>
              <w:t xml:space="preserve"> </w:t>
            </w:r>
            <w:r>
              <w:rPr>
                <w:b/>
                <w:sz w:val="24"/>
              </w:rPr>
              <w:t xml:space="preserve">competing. </w:t>
            </w:r>
            <w:r>
              <w:rPr>
                <w:sz w:val="24"/>
              </w:rPr>
              <w:t>Contact risk levels for individual sports are referenced in DOH’s</w:t>
            </w:r>
            <w:r>
              <w:rPr>
                <w:color w:val="0562C1"/>
                <w:sz w:val="24"/>
              </w:rPr>
              <w:t xml:space="preserve"> </w:t>
            </w:r>
            <w:hyperlink r:id="rId15">
              <w:r>
                <w:rPr>
                  <w:color w:val="0562C1"/>
                  <w:sz w:val="24"/>
                  <w:u w:val="single" w:color="0562C1"/>
                </w:rPr>
                <w:t>Guidance</w:t>
              </w:r>
            </w:hyperlink>
            <w:r>
              <w:rPr>
                <w:color w:val="0562C1"/>
                <w:spacing w:val="1"/>
                <w:sz w:val="24"/>
              </w:rPr>
              <w:t xml:space="preserve"> </w:t>
            </w:r>
            <w:hyperlink r:id="rId16">
              <w:r>
                <w:rPr>
                  <w:color w:val="0562C1"/>
                  <w:sz w:val="24"/>
                  <w:u w:val="single" w:color="0562C1"/>
                </w:rPr>
                <w:t>for Sports and</w:t>
              </w:r>
              <w:r>
                <w:rPr>
                  <w:color w:val="0562C1"/>
                  <w:spacing w:val="1"/>
                  <w:sz w:val="24"/>
                  <w:u w:val="single" w:color="0562C1"/>
                </w:rPr>
                <w:t xml:space="preserve"> </w:t>
              </w:r>
              <w:r>
                <w:rPr>
                  <w:color w:val="0562C1"/>
                  <w:sz w:val="24"/>
                  <w:u w:val="single" w:color="0562C1"/>
                </w:rPr>
                <w:t>Fitness Activities</w:t>
              </w:r>
            </w:hyperlink>
            <w:r>
              <w:rPr>
                <w:sz w:val="24"/>
              </w:rPr>
              <w:t>.</w:t>
            </w:r>
          </w:p>
          <w:p w14:paraId="2EBA6953" w14:textId="77777777" w:rsidR="00057D19" w:rsidRDefault="00057D19" w:rsidP="00057D19">
            <w:r>
              <w:t>o</w:t>
            </w:r>
            <w:r>
              <w:tab/>
              <w:t>Indoor basketball, wrestling, and water polo are high-contact sports and require screening testing of unvaccinated individuals in order to participate. See the section on Screening Testing for Sporting Activities below.</w:t>
            </w:r>
          </w:p>
          <w:p w14:paraId="40676E8B" w14:textId="77777777" w:rsidR="00057D19" w:rsidRDefault="00057D19" w:rsidP="00057D19">
            <w:r>
              <w:t>o</w:t>
            </w:r>
            <w:r>
              <w:tab/>
              <w:t>Cheer is a high aerosol-generating activity. Fully vaccinated cheerleaders do not have to wear a mask when practicing, performing or competing. Unvaccinated cheerleaders do not have to wear a mask when practicing, performing or competing if they participate in screening testing. Universal</w:t>
            </w:r>
          </w:p>
          <w:p w14:paraId="73D7BCF5" w14:textId="416947E0" w:rsidR="00057D19" w:rsidRDefault="00057D19" w:rsidP="00057D19">
            <w:r>
              <w:t xml:space="preserve"> masking of cheerleaders is required indoors when not practicing, performing or competing.</w:t>
            </w:r>
          </w:p>
          <w:p w14:paraId="3678F558" w14:textId="77777777" w:rsidR="00057D19" w:rsidRDefault="00057D19" w:rsidP="00057D19">
            <w:r>
              <w:t>o</w:t>
            </w:r>
            <w:r>
              <w:tab/>
              <w:t>High contact indoor athletes who are engaging in practices off-season must either:</w:t>
            </w:r>
          </w:p>
          <w:p w14:paraId="59691200" w14:textId="71C0377B" w:rsidR="00057D19" w:rsidRDefault="00057D19" w:rsidP="00057D19">
            <w:r>
              <w:lastRenderedPageBreak/>
              <w:tab/>
              <w:t>Practice universal masking at all times, regardless of vaccination status; or</w:t>
            </w:r>
          </w:p>
          <w:p w14:paraId="3C8B33E5" w14:textId="52A8837A" w:rsidR="00EC5E52" w:rsidRDefault="00057D19" w:rsidP="00057D19">
            <w:r>
              <w:tab/>
              <w:t>Initiate the screening testing protocol of unvaccinated athletes to allow the removal of masks by all athletes, vaccinated and unvaccinated, while practicing. Masks must be worn at all other times when not practicing, regardless of vaccination status.</w:t>
            </w:r>
          </w:p>
          <w:p w14:paraId="4352B57A" w14:textId="77777777" w:rsidR="00057D19" w:rsidRPr="00057D19" w:rsidRDefault="00057D19" w:rsidP="00057D19">
            <w:pPr>
              <w:widowControl w:val="0"/>
              <w:numPr>
                <w:ilvl w:val="0"/>
                <w:numId w:val="1"/>
              </w:numPr>
              <w:tabs>
                <w:tab w:val="left" w:pos="900"/>
                <w:tab w:val="left" w:pos="901"/>
              </w:tabs>
              <w:autoSpaceDE w:val="0"/>
              <w:autoSpaceDN w:val="0"/>
              <w:ind w:right="586"/>
              <w:rPr>
                <w:rFonts w:ascii="Symbol" w:eastAsia="Calibri" w:hAnsi="Symbol" w:cs="Calibri"/>
                <w:sz w:val="24"/>
              </w:rPr>
            </w:pPr>
            <w:r w:rsidRPr="00057D19">
              <w:rPr>
                <w:rFonts w:ascii="Calibri" w:eastAsia="Calibri" w:hAnsi="Calibri" w:cs="Calibri"/>
                <w:b/>
                <w:sz w:val="24"/>
              </w:rPr>
              <w:t xml:space="preserve">Masks are not required for outdoor sports of any contact level </w:t>
            </w:r>
            <w:r w:rsidRPr="00057D19">
              <w:rPr>
                <w:rFonts w:ascii="Calibri" w:eastAsia="Calibri" w:hAnsi="Calibri" w:cs="Calibri"/>
                <w:sz w:val="24"/>
              </w:rPr>
              <w:t>but are recommended</w:t>
            </w:r>
            <w:r w:rsidRPr="00057D19">
              <w:rPr>
                <w:rFonts w:ascii="Calibri" w:eastAsia="Calibri" w:hAnsi="Calibri" w:cs="Calibri"/>
                <w:spacing w:val="-52"/>
                <w:sz w:val="24"/>
              </w:rPr>
              <w:t xml:space="preserve"> </w:t>
            </w:r>
            <w:r w:rsidRPr="00057D19">
              <w:rPr>
                <w:rFonts w:ascii="Calibri" w:eastAsia="Calibri" w:hAnsi="Calibri" w:cs="Calibri"/>
                <w:sz w:val="24"/>
              </w:rPr>
              <w:t>in settings where unvaccinated athletes, coaches, athletic trainers and/or support</w:t>
            </w:r>
            <w:r w:rsidRPr="00057D19">
              <w:rPr>
                <w:rFonts w:ascii="Calibri" w:eastAsia="Calibri" w:hAnsi="Calibri" w:cs="Calibri"/>
                <w:spacing w:val="1"/>
                <w:sz w:val="24"/>
              </w:rPr>
              <w:t xml:space="preserve"> </w:t>
            </w:r>
            <w:r w:rsidRPr="00057D19">
              <w:rPr>
                <w:rFonts w:ascii="Calibri" w:eastAsia="Calibri" w:hAnsi="Calibri" w:cs="Calibri"/>
                <w:sz w:val="24"/>
              </w:rPr>
              <w:t>personnel are in close proximity, such as standing on the sidelines, in a huddle, or</w:t>
            </w:r>
            <w:r w:rsidRPr="00057D19">
              <w:rPr>
                <w:rFonts w:ascii="Calibri" w:eastAsia="Calibri" w:hAnsi="Calibri" w:cs="Calibri"/>
                <w:spacing w:val="1"/>
                <w:sz w:val="24"/>
              </w:rPr>
              <w:t xml:space="preserve"> </w:t>
            </w:r>
            <w:r w:rsidRPr="00057D19">
              <w:rPr>
                <w:rFonts w:ascii="Calibri" w:eastAsia="Calibri" w:hAnsi="Calibri" w:cs="Calibri"/>
                <w:sz w:val="24"/>
              </w:rPr>
              <w:t>sitting</w:t>
            </w:r>
            <w:r w:rsidRPr="00057D19">
              <w:rPr>
                <w:rFonts w:ascii="Calibri" w:eastAsia="Calibri" w:hAnsi="Calibri" w:cs="Calibri"/>
                <w:spacing w:val="-2"/>
                <w:sz w:val="24"/>
              </w:rPr>
              <w:t xml:space="preserve"> </w:t>
            </w:r>
            <w:r w:rsidRPr="00057D19">
              <w:rPr>
                <w:rFonts w:ascii="Calibri" w:eastAsia="Calibri" w:hAnsi="Calibri" w:cs="Calibri"/>
                <w:sz w:val="24"/>
              </w:rPr>
              <w:t>in</w:t>
            </w:r>
            <w:r w:rsidRPr="00057D19">
              <w:rPr>
                <w:rFonts w:ascii="Calibri" w:eastAsia="Calibri" w:hAnsi="Calibri" w:cs="Calibri"/>
                <w:spacing w:val="-1"/>
                <w:sz w:val="24"/>
              </w:rPr>
              <w:t xml:space="preserve"> </w:t>
            </w:r>
            <w:r w:rsidRPr="00057D19">
              <w:rPr>
                <w:rFonts w:ascii="Calibri" w:eastAsia="Calibri" w:hAnsi="Calibri" w:cs="Calibri"/>
                <w:sz w:val="24"/>
              </w:rPr>
              <w:t>a</w:t>
            </w:r>
            <w:r w:rsidRPr="00057D19">
              <w:rPr>
                <w:rFonts w:ascii="Calibri" w:eastAsia="Calibri" w:hAnsi="Calibri" w:cs="Calibri"/>
                <w:spacing w:val="-2"/>
                <w:sz w:val="24"/>
              </w:rPr>
              <w:t xml:space="preserve"> </w:t>
            </w:r>
            <w:r w:rsidRPr="00057D19">
              <w:rPr>
                <w:rFonts w:ascii="Calibri" w:eastAsia="Calibri" w:hAnsi="Calibri" w:cs="Calibri"/>
                <w:sz w:val="24"/>
              </w:rPr>
              <w:t>dugout.</w:t>
            </w:r>
          </w:p>
          <w:p w14:paraId="5708E8A1" w14:textId="77777777" w:rsidR="00057D19" w:rsidRPr="00057D19" w:rsidRDefault="00057D19" w:rsidP="00057D19">
            <w:pPr>
              <w:widowControl w:val="0"/>
              <w:numPr>
                <w:ilvl w:val="0"/>
                <w:numId w:val="1"/>
              </w:numPr>
              <w:tabs>
                <w:tab w:val="left" w:pos="900"/>
                <w:tab w:val="left" w:pos="901"/>
              </w:tabs>
              <w:autoSpaceDE w:val="0"/>
              <w:autoSpaceDN w:val="0"/>
              <w:ind w:right="761"/>
              <w:rPr>
                <w:rFonts w:ascii="Symbol" w:eastAsia="Calibri" w:hAnsi="Symbol" w:cs="Calibri"/>
                <w:sz w:val="24"/>
              </w:rPr>
            </w:pPr>
            <w:r w:rsidRPr="00057D19">
              <w:rPr>
                <w:rFonts w:ascii="Calibri" w:eastAsia="Calibri" w:hAnsi="Calibri" w:cs="Calibri"/>
                <w:sz w:val="24"/>
              </w:rPr>
              <w:t>All coaches, athletic trainers, and other support personnel involved with sporting</w:t>
            </w:r>
            <w:r w:rsidRPr="00057D19">
              <w:rPr>
                <w:rFonts w:ascii="Calibri" w:eastAsia="Calibri" w:hAnsi="Calibri" w:cs="Calibri"/>
                <w:spacing w:val="1"/>
                <w:sz w:val="24"/>
              </w:rPr>
              <w:t xml:space="preserve"> </w:t>
            </w:r>
            <w:r w:rsidRPr="00057D19">
              <w:rPr>
                <w:rFonts w:ascii="Calibri" w:eastAsia="Calibri" w:hAnsi="Calibri" w:cs="Calibri"/>
                <w:sz w:val="24"/>
              </w:rPr>
              <w:t>activities must wear face coverings indoors in K-12 settings, regardless of vaccination</w:t>
            </w:r>
            <w:r w:rsidRPr="00057D19">
              <w:rPr>
                <w:rFonts w:ascii="Calibri" w:eastAsia="Calibri" w:hAnsi="Calibri" w:cs="Calibri"/>
                <w:spacing w:val="-52"/>
                <w:sz w:val="24"/>
              </w:rPr>
              <w:t xml:space="preserve"> </w:t>
            </w:r>
            <w:r w:rsidRPr="00057D19">
              <w:rPr>
                <w:rFonts w:ascii="Calibri" w:eastAsia="Calibri" w:hAnsi="Calibri" w:cs="Calibri"/>
                <w:sz w:val="24"/>
              </w:rPr>
              <w:t>status.</w:t>
            </w:r>
          </w:p>
          <w:p w14:paraId="0BD14421" w14:textId="77777777" w:rsidR="00057D19" w:rsidRPr="00057D19" w:rsidRDefault="00057D19" w:rsidP="00057D19">
            <w:pPr>
              <w:widowControl w:val="0"/>
              <w:numPr>
                <w:ilvl w:val="0"/>
                <w:numId w:val="1"/>
              </w:numPr>
              <w:tabs>
                <w:tab w:val="left" w:pos="900"/>
                <w:tab w:val="left" w:pos="901"/>
              </w:tabs>
              <w:autoSpaceDE w:val="0"/>
              <w:autoSpaceDN w:val="0"/>
              <w:spacing w:before="1"/>
              <w:ind w:right="525"/>
              <w:rPr>
                <w:rFonts w:ascii="Symbol" w:eastAsia="Calibri" w:hAnsi="Symbol" w:cs="Calibri"/>
                <w:sz w:val="24"/>
              </w:rPr>
            </w:pPr>
            <w:r w:rsidRPr="00057D19">
              <w:rPr>
                <w:rFonts w:ascii="Calibri" w:eastAsia="Calibri" w:hAnsi="Calibri" w:cs="Calibri"/>
                <w:sz w:val="24"/>
              </w:rPr>
              <w:t>Referees who are fully vaccinated do not have to wear face coverings indoors when</w:t>
            </w:r>
            <w:r w:rsidRPr="00057D19">
              <w:rPr>
                <w:rFonts w:ascii="Calibri" w:eastAsia="Calibri" w:hAnsi="Calibri" w:cs="Calibri"/>
                <w:spacing w:val="1"/>
                <w:sz w:val="24"/>
              </w:rPr>
              <w:t xml:space="preserve"> </w:t>
            </w:r>
            <w:r w:rsidRPr="00057D19">
              <w:rPr>
                <w:rFonts w:ascii="Calibri" w:eastAsia="Calibri" w:hAnsi="Calibri" w:cs="Calibri"/>
                <w:sz w:val="24"/>
              </w:rPr>
              <w:t>actively</w:t>
            </w:r>
            <w:r w:rsidRPr="00057D19">
              <w:rPr>
                <w:rFonts w:ascii="Calibri" w:eastAsia="Calibri" w:hAnsi="Calibri" w:cs="Calibri"/>
                <w:spacing w:val="-3"/>
                <w:sz w:val="24"/>
              </w:rPr>
              <w:t xml:space="preserve"> </w:t>
            </w:r>
            <w:r w:rsidRPr="00057D19">
              <w:rPr>
                <w:rFonts w:ascii="Calibri" w:eastAsia="Calibri" w:hAnsi="Calibri" w:cs="Calibri"/>
                <w:sz w:val="24"/>
              </w:rPr>
              <w:t>officiating</w:t>
            </w:r>
            <w:r w:rsidRPr="00057D19">
              <w:rPr>
                <w:rFonts w:ascii="Calibri" w:eastAsia="Calibri" w:hAnsi="Calibri" w:cs="Calibri"/>
                <w:spacing w:val="-2"/>
                <w:sz w:val="24"/>
              </w:rPr>
              <w:t xml:space="preserve"> </w:t>
            </w:r>
            <w:r w:rsidRPr="00057D19">
              <w:rPr>
                <w:rFonts w:ascii="Calibri" w:eastAsia="Calibri" w:hAnsi="Calibri" w:cs="Calibri"/>
                <w:sz w:val="24"/>
              </w:rPr>
              <w:t>and</w:t>
            </w:r>
            <w:r w:rsidRPr="00057D19">
              <w:rPr>
                <w:rFonts w:ascii="Calibri" w:eastAsia="Calibri" w:hAnsi="Calibri" w:cs="Calibri"/>
                <w:spacing w:val="-3"/>
                <w:sz w:val="24"/>
              </w:rPr>
              <w:t xml:space="preserve"> </w:t>
            </w:r>
            <w:r w:rsidRPr="00057D19">
              <w:rPr>
                <w:rFonts w:ascii="Calibri" w:eastAsia="Calibri" w:hAnsi="Calibri" w:cs="Calibri"/>
                <w:sz w:val="24"/>
              </w:rPr>
              <w:t>running</w:t>
            </w:r>
            <w:r w:rsidRPr="00057D19">
              <w:rPr>
                <w:rFonts w:ascii="Calibri" w:eastAsia="Calibri" w:hAnsi="Calibri" w:cs="Calibri"/>
                <w:spacing w:val="-2"/>
                <w:sz w:val="24"/>
              </w:rPr>
              <w:t xml:space="preserve"> </w:t>
            </w:r>
            <w:r w:rsidRPr="00057D19">
              <w:rPr>
                <w:rFonts w:ascii="Calibri" w:eastAsia="Calibri" w:hAnsi="Calibri" w:cs="Calibri"/>
                <w:sz w:val="24"/>
              </w:rPr>
              <w:t>(e.g.,</w:t>
            </w:r>
            <w:r w:rsidRPr="00057D19">
              <w:rPr>
                <w:rFonts w:ascii="Calibri" w:eastAsia="Calibri" w:hAnsi="Calibri" w:cs="Calibri"/>
                <w:spacing w:val="-3"/>
                <w:sz w:val="24"/>
              </w:rPr>
              <w:t xml:space="preserve"> </w:t>
            </w:r>
            <w:r w:rsidRPr="00057D19">
              <w:rPr>
                <w:rFonts w:ascii="Calibri" w:eastAsia="Calibri" w:hAnsi="Calibri" w:cs="Calibri"/>
                <w:sz w:val="24"/>
              </w:rPr>
              <w:t>basketball).</w:t>
            </w:r>
            <w:r w:rsidRPr="00057D19">
              <w:rPr>
                <w:rFonts w:ascii="Calibri" w:eastAsia="Calibri" w:hAnsi="Calibri" w:cs="Calibri"/>
                <w:spacing w:val="-5"/>
                <w:sz w:val="24"/>
              </w:rPr>
              <w:t xml:space="preserve"> </w:t>
            </w:r>
            <w:r w:rsidRPr="00057D19">
              <w:rPr>
                <w:rFonts w:ascii="Calibri" w:eastAsia="Calibri" w:hAnsi="Calibri" w:cs="Calibri"/>
                <w:sz w:val="24"/>
              </w:rPr>
              <w:t>When</w:t>
            </w:r>
            <w:r w:rsidRPr="00057D19">
              <w:rPr>
                <w:rFonts w:ascii="Calibri" w:eastAsia="Calibri" w:hAnsi="Calibri" w:cs="Calibri"/>
                <w:spacing w:val="-2"/>
                <w:sz w:val="24"/>
              </w:rPr>
              <w:t xml:space="preserve"> </w:t>
            </w:r>
            <w:r w:rsidRPr="00057D19">
              <w:rPr>
                <w:rFonts w:ascii="Calibri" w:eastAsia="Calibri" w:hAnsi="Calibri" w:cs="Calibri"/>
                <w:sz w:val="24"/>
              </w:rPr>
              <w:t>they</w:t>
            </w:r>
            <w:r w:rsidRPr="00057D19">
              <w:rPr>
                <w:rFonts w:ascii="Calibri" w:eastAsia="Calibri" w:hAnsi="Calibri" w:cs="Calibri"/>
                <w:spacing w:val="-2"/>
                <w:sz w:val="24"/>
              </w:rPr>
              <w:t xml:space="preserve"> </w:t>
            </w:r>
            <w:r w:rsidRPr="00057D19">
              <w:rPr>
                <w:rFonts w:ascii="Calibri" w:eastAsia="Calibri" w:hAnsi="Calibri" w:cs="Calibri"/>
                <w:sz w:val="24"/>
              </w:rPr>
              <w:t>are</w:t>
            </w:r>
            <w:r w:rsidRPr="00057D19">
              <w:rPr>
                <w:rFonts w:ascii="Calibri" w:eastAsia="Calibri" w:hAnsi="Calibri" w:cs="Calibri"/>
                <w:spacing w:val="-3"/>
                <w:sz w:val="24"/>
              </w:rPr>
              <w:t xml:space="preserve"> </w:t>
            </w:r>
            <w:r w:rsidRPr="00057D19">
              <w:rPr>
                <w:rFonts w:ascii="Calibri" w:eastAsia="Calibri" w:hAnsi="Calibri" w:cs="Calibri"/>
                <w:sz w:val="24"/>
              </w:rPr>
              <w:t>not</w:t>
            </w:r>
            <w:r w:rsidRPr="00057D19">
              <w:rPr>
                <w:rFonts w:ascii="Calibri" w:eastAsia="Calibri" w:hAnsi="Calibri" w:cs="Calibri"/>
                <w:spacing w:val="-4"/>
                <w:sz w:val="24"/>
              </w:rPr>
              <w:t xml:space="preserve"> </w:t>
            </w:r>
            <w:r w:rsidRPr="00057D19">
              <w:rPr>
                <w:rFonts w:ascii="Calibri" w:eastAsia="Calibri" w:hAnsi="Calibri" w:cs="Calibri"/>
                <w:sz w:val="24"/>
              </w:rPr>
              <w:t>running,</w:t>
            </w:r>
            <w:r w:rsidRPr="00057D19">
              <w:rPr>
                <w:rFonts w:ascii="Calibri" w:eastAsia="Calibri" w:hAnsi="Calibri" w:cs="Calibri"/>
                <w:spacing w:val="-2"/>
                <w:sz w:val="24"/>
              </w:rPr>
              <w:t xml:space="preserve"> </w:t>
            </w:r>
            <w:r w:rsidRPr="00057D19">
              <w:rPr>
                <w:rFonts w:ascii="Calibri" w:eastAsia="Calibri" w:hAnsi="Calibri" w:cs="Calibri"/>
                <w:sz w:val="24"/>
              </w:rPr>
              <w:t>masks</w:t>
            </w:r>
            <w:r w:rsidRPr="00057D19">
              <w:rPr>
                <w:rFonts w:ascii="Calibri" w:eastAsia="Calibri" w:hAnsi="Calibri" w:cs="Calibri"/>
                <w:spacing w:val="-2"/>
                <w:sz w:val="24"/>
              </w:rPr>
              <w:t xml:space="preserve"> </w:t>
            </w:r>
            <w:r w:rsidRPr="00057D19">
              <w:rPr>
                <w:rFonts w:ascii="Calibri" w:eastAsia="Calibri" w:hAnsi="Calibri" w:cs="Calibri"/>
                <w:sz w:val="24"/>
              </w:rPr>
              <w:t>are</w:t>
            </w:r>
            <w:r w:rsidRPr="00057D19">
              <w:rPr>
                <w:rFonts w:ascii="Calibri" w:eastAsia="Calibri" w:hAnsi="Calibri" w:cs="Calibri"/>
                <w:spacing w:val="-51"/>
                <w:sz w:val="24"/>
              </w:rPr>
              <w:t xml:space="preserve"> </w:t>
            </w:r>
            <w:r w:rsidRPr="00057D19">
              <w:rPr>
                <w:rFonts w:ascii="Calibri" w:eastAsia="Calibri" w:hAnsi="Calibri" w:cs="Calibri"/>
                <w:sz w:val="24"/>
              </w:rPr>
              <w:t>required (e.g., talking with coaches, between quarters). Unvaccinated referees must</w:t>
            </w:r>
            <w:r w:rsidRPr="00057D19">
              <w:rPr>
                <w:rFonts w:ascii="Calibri" w:eastAsia="Calibri" w:hAnsi="Calibri" w:cs="Calibri"/>
                <w:spacing w:val="1"/>
                <w:sz w:val="24"/>
              </w:rPr>
              <w:t xml:space="preserve"> </w:t>
            </w:r>
            <w:r w:rsidRPr="00057D19">
              <w:rPr>
                <w:rFonts w:ascii="Calibri" w:eastAsia="Calibri" w:hAnsi="Calibri" w:cs="Calibri"/>
                <w:sz w:val="24"/>
              </w:rPr>
              <w:t xml:space="preserve">wear face coverings at all times when they are officiating, </w:t>
            </w:r>
            <w:r w:rsidRPr="00057D19">
              <w:rPr>
                <w:rFonts w:ascii="Calibri" w:eastAsia="Calibri" w:hAnsi="Calibri" w:cs="Calibri"/>
                <w:sz w:val="24"/>
              </w:rPr>
              <w:lastRenderedPageBreak/>
              <w:t>unless they participate in</w:t>
            </w:r>
            <w:r w:rsidRPr="00057D19">
              <w:rPr>
                <w:rFonts w:ascii="Calibri" w:eastAsia="Calibri" w:hAnsi="Calibri" w:cs="Calibri"/>
                <w:spacing w:val="1"/>
                <w:sz w:val="24"/>
              </w:rPr>
              <w:t xml:space="preserve"> </w:t>
            </w:r>
            <w:r w:rsidRPr="00057D19">
              <w:rPr>
                <w:rFonts w:ascii="Calibri" w:eastAsia="Calibri" w:hAnsi="Calibri" w:cs="Calibri"/>
                <w:sz w:val="24"/>
              </w:rPr>
              <w:t>screening</w:t>
            </w:r>
            <w:r w:rsidRPr="00057D19">
              <w:rPr>
                <w:rFonts w:ascii="Calibri" w:eastAsia="Calibri" w:hAnsi="Calibri" w:cs="Calibri"/>
                <w:spacing w:val="-3"/>
                <w:sz w:val="24"/>
              </w:rPr>
              <w:t xml:space="preserve"> </w:t>
            </w:r>
            <w:r w:rsidRPr="00057D19">
              <w:rPr>
                <w:rFonts w:ascii="Calibri" w:eastAsia="Calibri" w:hAnsi="Calibri" w:cs="Calibri"/>
                <w:sz w:val="24"/>
              </w:rPr>
              <w:t>testing.</w:t>
            </w:r>
          </w:p>
          <w:p w14:paraId="762F5F15" w14:textId="77777777" w:rsidR="00057D19" w:rsidRPr="00057D19" w:rsidRDefault="00057D19" w:rsidP="00057D19">
            <w:pPr>
              <w:widowControl w:val="0"/>
              <w:numPr>
                <w:ilvl w:val="0"/>
                <w:numId w:val="1"/>
              </w:numPr>
              <w:tabs>
                <w:tab w:val="left" w:pos="900"/>
                <w:tab w:val="left" w:pos="901"/>
              </w:tabs>
              <w:autoSpaceDE w:val="0"/>
              <w:autoSpaceDN w:val="0"/>
              <w:spacing w:before="1"/>
              <w:ind w:right="1032"/>
              <w:rPr>
                <w:rFonts w:ascii="Symbol" w:eastAsia="Calibri" w:hAnsi="Symbol" w:cs="Calibri"/>
                <w:sz w:val="24"/>
              </w:rPr>
            </w:pPr>
            <w:r w:rsidRPr="00057D19">
              <w:rPr>
                <w:rFonts w:ascii="Calibri" w:eastAsia="Calibri" w:hAnsi="Calibri" w:cs="Calibri"/>
                <w:sz w:val="24"/>
              </w:rPr>
              <w:t>Masking is required universally for all spectators attending indoor K-12 sporting</w:t>
            </w:r>
            <w:r w:rsidRPr="00057D19">
              <w:rPr>
                <w:rFonts w:ascii="Calibri" w:eastAsia="Calibri" w:hAnsi="Calibri" w:cs="Calibri"/>
                <w:spacing w:val="1"/>
                <w:sz w:val="24"/>
              </w:rPr>
              <w:t xml:space="preserve"> </w:t>
            </w:r>
            <w:r w:rsidRPr="00057D19">
              <w:rPr>
                <w:rFonts w:ascii="Calibri" w:eastAsia="Calibri" w:hAnsi="Calibri" w:cs="Calibri"/>
                <w:sz w:val="24"/>
              </w:rPr>
              <w:t>activities, regardless of vaccination status. Audience members should be seated in</w:t>
            </w:r>
            <w:r w:rsidRPr="00057D19">
              <w:rPr>
                <w:rFonts w:ascii="Calibri" w:eastAsia="Calibri" w:hAnsi="Calibri" w:cs="Calibri"/>
                <w:spacing w:val="-52"/>
                <w:sz w:val="24"/>
              </w:rPr>
              <w:t xml:space="preserve"> </w:t>
            </w:r>
            <w:r w:rsidRPr="00057D19">
              <w:rPr>
                <w:rFonts w:ascii="Calibri" w:eastAsia="Calibri" w:hAnsi="Calibri" w:cs="Calibri"/>
                <w:sz w:val="24"/>
              </w:rPr>
              <w:t>“family</w:t>
            </w:r>
            <w:r w:rsidRPr="00057D19">
              <w:rPr>
                <w:rFonts w:ascii="Calibri" w:eastAsia="Calibri" w:hAnsi="Calibri" w:cs="Calibri"/>
                <w:spacing w:val="-4"/>
                <w:sz w:val="24"/>
              </w:rPr>
              <w:t xml:space="preserve"> </w:t>
            </w:r>
            <w:r w:rsidRPr="00057D19">
              <w:rPr>
                <w:rFonts w:ascii="Calibri" w:eastAsia="Calibri" w:hAnsi="Calibri" w:cs="Calibri"/>
                <w:sz w:val="24"/>
              </w:rPr>
              <w:t>units”</w:t>
            </w:r>
            <w:r w:rsidRPr="00057D19">
              <w:rPr>
                <w:rFonts w:ascii="Calibri" w:eastAsia="Calibri" w:hAnsi="Calibri" w:cs="Calibri"/>
                <w:spacing w:val="-2"/>
                <w:sz w:val="24"/>
              </w:rPr>
              <w:t xml:space="preserve"> </w:t>
            </w:r>
            <w:r w:rsidRPr="00057D19">
              <w:rPr>
                <w:rFonts w:ascii="Calibri" w:eastAsia="Calibri" w:hAnsi="Calibri" w:cs="Calibri"/>
                <w:sz w:val="24"/>
              </w:rPr>
              <w:t>and</w:t>
            </w:r>
            <w:r w:rsidRPr="00057D19">
              <w:rPr>
                <w:rFonts w:ascii="Calibri" w:eastAsia="Calibri" w:hAnsi="Calibri" w:cs="Calibri"/>
                <w:spacing w:val="-2"/>
                <w:sz w:val="24"/>
              </w:rPr>
              <w:t xml:space="preserve"> </w:t>
            </w:r>
            <w:r w:rsidRPr="00057D19">
              <w:rPr>
                <w:rFonts w:ascii="Calibri" w:eastAsia="Calibri" w:hAnsi="Calibri" w:cs="Calibri"/>
                <w:sz w:val="24"/>
              </w:rPr>
              <w:t>those</w:t>
            </w:r>
            <w:r w:rsidRPr="00057D19">
              <w:rPr>
                <w:rFonts w:ascii="Calibri" w:eastAsia="Calibri" w:hAnsi="Calibri" w:cs="Calibri"/>
                <w:spacing w:val="-3"/>
                <w:sz w:val="24"/>
              </w:rPr>
              <w:t xml:space="preserve"> </w:t>
            </w:r>
            <w:r w:rsidRPr="00057D19">
              <w:rPr>
                <w:rFonts w:ascii="Calibri" w:eastAsia="Calibri" w:hAnsi="Calibri" w:cs="Calibri"/>
                <w:sz w:val="24"/>
              </w:rPr>
              <w:t>small</w:t>
            </w:r>
            <w:r w:rsidRPr="00057D19">
              <w:rPr>
                <w:rFonts w:ascii="Calibri" w:eastAsia="Calibri" w:hAnsi="Calibri" w:cs="Calibri"/>
                <w:spacing w:val="-1"/>
                <w:sz w:val="24"/>
              </w:rPr>
              <w:t xml:space="preserve"> </w:t>
            </w:r>
            <w:r w:rsidRPr="00057D19">
              <w:rPr>
                <w:rFonts w:ascii="Calibri" w:eastAsia="Calibri" w:hAnsi="Calibri" w:cs="Calibri"/>
                <w:sz w:val="24"/>
              </w:rPr>
              <w:t>groups</w:t>
            </w:r>
            <w:r w:rsidRPr="00057D19">
              <w:rPr>
                <w:rFonts w:ascii="Calibri" w:eastAsia="Calibri" w:hAnsi="Calibri" w:cs="Calibri"/>
                <w:spacing w:val="-2"/>
                <w:sz w:val="24"/>
              </w:rPr>
              <w:t xml:space="preserve"> </w:t>
            </w:r>
            <w:r w:rsidRPr="00057D19">
              <w:rPr>
                <w:rFonts w:ascii="Calibri" w:eastAsia="Calibri" w:hAnsi="Calibri" w:cs="Calibri"/>
                <w:sz w:val="24"/>
              </w:rPr>
              <w:t>should</w:t>
            </w:r>
            <w:r w:rsidRPr="00057D19">
              <w:rPr>
                <w:rFonts w:ascii="Calibri" w:eastAsia="Calibri" w:hAnsi="Calibri" w:cs="Calibri"/>
                <w:spacing w:val="-2"/>
                <w:sz w:val="24"/>
              </w:rPr>
              <w:t xml:space="preserve"> </w:t>
            </w:r>
            <w:r w:rsidRPr="00057D19">
              <w:rPr>
                <w:rFonts w:ascii="Calibri" w:eastAsia="Calibri" w:hAnsi="Calibri" w:cs="Calibri"/>
                <w:sz w:val="24"/>
              </w:rPr>
              <w:t>be</w:t>
            </w:r>
            <w:r w:rsidRPr="00057D19">
              <w:rPr>
                <w:rFonts w:ascii="Calibri" w:eastAsia="Calibri" w:hAnsi="Calibri" w:cs="Calibri"/>
                <w:spacing w:val="-1"/>
                <w:sz w:val="24"/>
              </w:rPr>
              <w:t xml:space="preserve"> </w:t>
            </w:r>
            <w:r w:rsidRPr="00057D19">
              <w:rPr>
                <w:rFonts w:ascii="Calibri" w:eastAsia="Calibri" w:hAnsi="Calibri" w:cs="Calibri"/>
                <w:sz w:val="24"/>
              </w:rPr>
              <w:t>spaced at</w:t>
            </w:r>
            <w:r w:rsidRPr="00057D19">
              <w:rPr>
                <w:rFonts w:ascii="Calibri" w:eastAsia="Calibri" w:hAnsi="Calibri" w:cs="Calibri"/>
                <w:spacing w:val="-1"/>
                <w:sz w:val="24"/>
              </w:rPr>
              <w:t xml:space="preserve"> </w:t>
            </w:r>
            <w:r w:rsidRPr="00057D19">
              <w:rPr>
                <w:rFonts w:ascii="Calibri" w:eastAsia="Calibri" w:hAnsi="Calibri" w:cs="Calibri"/>
                <w:sz w:val="24"/>
              </w:rPr>
              <w:t>least</w:t>
            </w:r>
            <w:r w:rsidRPr="00057D19">
              <w:rPr>
                <w:rFonts w:ascii="Calibri" w:eastAsia="Calibri" w:hAnsi="Calibri" w:cs="Calibri"/>
                <w:spacing w:val="-2"/>
                <w:sz w:val="24"/>
              </w:rPr>
              <w:t xml:space="preserve"> </w:t>
            </w:r>
            <w:r w:rsidRPr="00057D19">
              <w:rPr>
                <w:rFonts w:ascii="Calibri" w:eastAsia="Calibri" w:hAnsi="Calibri" w:cs="Calibri"/>
                <w:sz w:val="24"/>
              </w:rPr>
              <w:t>3</w:t>
            </w:r>
            <w:r w:rsidRPr="00057D19">
              <w:rPr>
                <w:rFonts w:ascii="Calibri" w:eastAsia="Calibri" w:hAnsi="Calibri" w:cs="Calibri"/>
                <w:spacing w:val="-3"/>
                <w:sz w:val="24"/>
              </w:rPr>
              <w:t xml:space="preserve"> </w:t>
            </w:r>
            <w:r w:rsidRPr="00057D19">
              <w:rPr>
                <w:rFonts w:ascii="Calibri" w:eastAsia="Calibri" w:hAnsi="Calibri" w:cs="Calibri"/>
                <w:sz w:val="24"/>
              </w:rPr>
              <w:t>feet apart.</w:t>
            </w:r>
          </w:p>
          <w:p w14:paraId="177A87BC" w14:textId="79333528" w:rsidR="00057D19" w:rsidRDefault="00057D19" w:rsidP="00057D19"/>
        </w:tc>
        <w:tc>
          <w:tcPr>
            <w:tcW w:w="4797" w:type="dxa"/>
            <w:shd w:val="clear" w:color="auto" w:fill="E7E6E6" w:themeFill="background2"/>
          </w:tcPr>
          <w:p w14:paraId="5F65EB7C" w14:textId="77777777" w:rsidR="00057D19" w:rsidRDefault="00057D19" w:rsidP="00057D19">
            <w:pPr>
              <w:pStyle w:val="Heading2"/>
              <w:outlineLvl w:val="1"/>
              <w:rPr>
                <w:rFonts w:ascii="Century Gothic"/>
              </w:rPr>
            </w:pPr>
            <w:r>
              <w:rPr>
                <w:rFonts w:ascii="Century Gothic"/>
              </w:rPr>
              <w:lastRenderedPageBreak/>
              <w:t>Extracurricular</w:t>
            </w:r>
            <w:r>
              <w:rPr>
                <w:rFonts w:ascii="Century Gothic"/>
                <w:spacing w:val="-1"/>
              </w:rPr>
              <w:t xml:space="preserve"> </w:t>
            </w:r>
            <w:r>
              <w:rPr>
                <w:rFonts w:ascii="Century Gothic"/>
              </w:rPr>
              <w:t>Performing Arts Performances and Activities</w:t>
            </w:r>
          </w:p>
          <w:p w14:paraId="1A26D92A" w14:textId="77777777" w:rsidR="00057D19" w:rsidRDefault="00057D19" w:rsidP="00057D19">
            <w:pPr>
              <w:widowControl w:val="0"/>
              <w:autoSpaceDE w:val="0"/>
              <w:autoSpaceDN w:val="0"/>
              <w:rPr>
                <w:rFonts w:ascii="Century Gothic" w:eastAsia="Calibri" w:hAnsi="Calibri" w:cs="Calibri"/>
                <w:color w:val="365F91"/>
              </w:rPr>
            </w:pPr>
          </w:p>
          <w:p w14:paraId="4695C1DD" w14:textId="16281128" w:rsidR="00F31314" w:rsidRPr="00F31314" w:rsidRDefault="00F31314" w:rsidP="00F31314">
            <w:pPr>
              <w:widowControl w:val="0"/>
              <w:autoSpaceDE w:val="0"/>
              <w:autoSpaceDN w:val="0"/>
              <w:ind w:left="180"/>
              <w:rPr>
                <w:rFonts w:ascii="Century Gothic" w:eastAsia="Calibri" w:hAnsi="Calibri" w:cs="Calibri"/>
              </w:rPr>
            </w:pPr>
            <w:r w:rsidRPr="00F31314">
              <w:rPr>
                <w:rFonts w:ascii="Century Gothic" w:eastAsia="Calibri" w:hAnsi="Calibri" w:cs="Calibri"/>
                <w:color w:val="365F91"/>
              </w:rPr>
              <w:t>Performances</w:t>
            </w:r>
          </w:p>
          <w:p w14:paraId="7A3B1C3D" w14:textId="77777777" w:rsidR="00F31314" w:rsidRPr="00F31314" w:rsidRDefault="00F31314" w:rsidP="00F31314">
            <w:pPr>
              <w:widowControl w:val="0"/>
              <w:numPr>
                <w:ilvl w:val="0"/>
                <w:numId w:val="1"/>
              </w:numPr>
              <w:tabs>
                <w:tab w:val="left" w:pos="900"/>
                <w:tab w:val="left" w:pos="901"/>
              </w:tabs>
              <w:autoSpaceDE w:val="0"/>
              <w:autoSpaceDN w:val="0"/>
              <w:spacing w:before="119"/>
              <w:ind w:right="545"/>
              <w:rPr>
                <w:rFonts w:ascii="Symbol" w:eastAsia="Calibri" w:hAnsi="Symbol" w:cs="Calibri"/>
                <w:sz w:val="24"/>
              </w:rPr>
            </w:pPr>
            <w:r w:rsidRPr="00F31314">
              <w:rPr>
                <w:rFonts w:ascii="Calibri" w:eastAsia="Calibri" w:hAnsi="Calibri" w:cs="Calibri"/>
                <w:sz w:val="24"/>
              </w:rPr>
              <w:t>For performances, audience members should be seated in “family units” and those</w:t>
            </w:r>
            <w:r w:rsidRPr="00F31314">
              <w:rPr>
                <w:rFonts w:ascii="Calibri" w:eastAsia="Calibri" w:hAnsi="Calibri" w:cs="Calibri"/>
                <w:spacing w:val="1"/>
                <w:sz w:val="24"/>
              </w:rPr>
              <w:t xml:space="preserve"> </w:t>
            </w:r>
            <w:r w:rsidRPr="00F31314">
              <w:rPr>
                <w:rFonts w:ascii="Calibri" w:eastAsia="Calibri" w:hAnsi="Calibri" w:cs="Calibri"/>
                <w:sz w:val="24"/>
              </w:rPr>
              <w:t>small groups should be spaced at least 3 feet apart. All audience members must wear a</w:t>
            </w:r>
            <w:r w:rsidRPr="00F31314">
              <w:rPr>
                <w:rFonts w:ascii="Calibri" w:eastAsia="Calibri" w:hAnsi="Calibri" w:cs="Calibri"/>
                <w:spacing w:val="-52"/>
                <w:sz w:val="24"/>
              </w:rPr>
              <w:t xml:space="preserve"> </w:t>
            </w:r>
            <w:r w:rsidRPr="00F31314">
              <w:rPr>
                <w:rFonts w:ascii="Calibri" w:eastAsia="Calibri" w:hAnsi="Calibri" w:cs="Calibri"/>
                <w:sz w:val="24"/>
              </w:rPr>
              <w:t>mask,</w:t>
            </w:r>
            <w:r w:rsidRPr="00F31314">
              <w:rPr>
                <w:rFonts w:ascii="Calibri" w:eastAsia="Calibri" w:hAnsi="Calibri" w:cs="Calibri"/>
                <w:spacing w:val="-1"/>
                <w:sz w:val="24"/>
              </w:rPr>
              <w:t xml:space="preserve"> </w:t>
            </w:r>
            <w:r w:rsidRPr="00F31314">
              <w:rPr>
                <w:rFonts w:ascii="Calibri" w:eastAsia="Calibri" w:hAnsi="Calibri" w:cs="Calibri"/>
                <w:sz w:val="24"/>
              </w:rPr>
              <w:t>regardless</w:t>
            </w:r>
            <w:r w:rsidRPr="00F31314">
              <w:rPr>
                <w:rFonts w:ascii="Calibri" w:eastAsia="Calibri" w:hAnsi="Calibri" w:cs="Calibri"/>
                <w:spacing w:val="-2"/>
                <w:sz w:val="24"/>
              </w:rPr>
              <w:t xml:space="preserve"> </w:t>
            </w:r>
            <w:r w:rsidRPr="00F31314">
              <w:rPr>
                <w:rFonts w:ascii="Calibri" w:eastAsia="Calibri" w:hAnsi="Calibri" w:cs="Calibri"/>
                <w:sz w:val="24"/>
              </w:rPr>
              <w:t>of</w:t>
            </w:r>
            <w:r w:rsidRPr="00F31314">
              <w:rPr>
                <w:rFonts w:ascii="Calibri" w:eastAsia="Calibri" w:hAnsi="Calibri" w:cs="Calibri"/>
                <w:spacing w:val="-1"/>
                <w:sz w:val="24"/>
              </w:rPr>
              <w:t xml:space="preserve"> </w:t>
            </w:r>
            <w:r w:rsidRPr="00F31314">
              <w:rPr>
                <w:rFonts w:ascii="Calibri" w:eastAsia="Calibri" w:hAnsi="Calibri" w:cs="Calibri"/>
                <w:sz w:val="24"/>
              </w:rPr>
              <w:t>vaccination</w:t>
            </w:r>
            <w:r w:rsidRPr="00F31314">
              <w:rPr>
                <w:rFonts w:ascii="Calibri" w:eastAsia="Calibri" w:hAnsi="Calibri" w:cs="Calibri"/>
                <w:spacing w:val="1"/>
                <w:sz w:val="24"/>
              </w:rPr>
              <w:t xml:space="preserve"> </w:t>
            </w:r>
            <w:r w:rsidRPr="00F31314">
              <w:rPr>
                <w:rFonts w:ascii="Calibri" w:eastAsia="Calibri" w:hAnsi="Calibri" w:cs="Calibri"/>
                <w:sz w:val="24"/>
              </w:rPr>
              <w:t>status.</w:t>
            </w:r>
          </w:p>
          <w:p w14:paraId="48B75203" w14:textId="77777777" w:rsidR="00F31314" w:rsidRPr="00F31314" w:rsidRDefault="00F31314" w:rsidP="00F31314">
            <w:pPr>
              <w:widowControl w:val="0"/>
              <w:numPr>
                <w:ilvl w:val="0"/>
                <w:numId w:val="1"/>
              </w:numPr>
              <w:tabs>
                <w:tab w:val="left" w:pos="900"/>
                <w:tab w:val="left" w:pos="901"/>
              </w:tabs>
              <w:autoSpaceDE w:val="0"/>
              <w:autoSpaceDN w:val="0"/>
              <w:spacing w:before="1"/>
              <w:ind w:right="1244"/>
              <w:rPr>
                <w:rFonts w:ascii="Symbol" w:eastAsia="Calibri" w:hAnsi="Symbol" w:cs="Calibri"/>
                <w:sz w:val="24"/>
              </w:rPr>
            </w:pPr>
            <w:r w:rsidRPr="00F31314">
              <w:rPr>
                <w:rFonts w:ascii="Calibri" w:eastAsia="Calibri" w:hAnsi="Calibri" w:cs="Calibri"/>
                <w:sz w:val="24"/>
              </w:rPr>
              <w:t>Universal masking is required during performances for participants, including</w:t>
            </w:r>
            <w:r w:rsidRPr="00F31314">
              <w:rPr>
                <w:rFonts w:ascii="Calibri" w:eastAsia="Calibri" w:hAnsi="Calibri" w:cs="Calibri"/>
                <w:spacing w:val="1"/>
                <w:sz w:val="24"/>
              </w:rPr>
              <w:t xml:space="preserve"> </w:t>
            </w:r>
            <w:r w:rsidRPr="00F31314">
              <w:rPr>
                <w:rFonts w:ascii="Calibri" w:eastAsia="Calibri" w:hAnsi="Calibri" w:cs="Calibri"/>
                <w:sz w:val="24"/>
              </w:rPr>
              <w:t>appropriate</w:t>
            </w:r>
            <w:r w:rsidRPr="00F31314">
              <w:rPr>
                <w:rFonts w:ascii="Calibri" w:eastAsia="Calibri" w:hAnsi="Calibri" w:cs="Calibri"/>
                <w:spacing w:val="-4"/>
                <w:sz w:val="24"/>
              </w:rPr>
              <w:t xml:space="preserve"> </w:t>
            </w:r>
            <w:r w:rsidRPr="00F31314">
              <w:rPr>
                <w:rFonts w:ascii="Calibri" w:eastAsia="Calibri" w:hAnsi="Calibri" w:cs="Calibri"/>
                <w:sz w:val="24"/>
              </w:rPr>
              <w:t>face</w:t>
            </w:r>
            <w:r w:rsidRPr="00F31314">
              <w:rPr>
                <w:rFonts w:ascii="Calibri" w:eastAsia="Calibri" w:hAnsi="Calibri" w:cs="Calibri"/>
                <w:spacing w:val="-2"/>
                <w:sz w:val="24"/>
              </w:rPr>
              <w:t xml:space="preserve"> </w:t>
            </w:r>
            <w:r w:rsidRPr="00F31314">
              <w:rPr>
                <w:rFonts w:ascii="Calibri" w:eastAsia="Calibri" w:hAnsi="Calibri" w:cs="Calibri"/>
                <w:sz w:val="24"/>
              </w:rPr>
              <w:t>coverings</w:t>
            </w:r>
            <w:r w:rsidRPr="00F31314">
              <w:rPr>
                <w:rFonts w:ascii="Calibri" w:eastAsia="Calibri" w:hAnsi="Calibri" w:cs="Calibri"/>
                <w:spacing w:val="-2"/>
                <w:sz w:val="24"/>
              </w:rPr>
              <w:t xml:space="preserve"> </w:t>
            </w:r>
            <w:r w:rsidRPr="00F31314">
              <w:rPr>
                <w:rFonts w:ascii="Calibri" w:eastAsia="Calibri" w:hAnsi="Calibri" w:cs="Calibri"/>
                <w:sz w:val="24"/>
              </w:rPr>
              <w:t>and</w:t>
            </w:r>
            <w:r w:rsidRPr="00F31314">
              <w:rPr>
                <w:rFonts w:ascii="Calibri" w:eastAsia="Calibri" w:hAnsi="Calibri" w:cs="Calibri"/>
                <w:spacing w:val="-3"/>
                <w:sz w:val="24"/>
              </w:rPr>
              <w:t xml:space="preserve"> </w:t>
            </w:r>
            <w:r w:rsidRPr="00F31314">
              <w:rPr>
                <w:rFonts w:ascii="Calibri" w:eastAsia="Calibri" w:hAnsi="Calibri" w:cs="Calibri"/>
                <w:sz w:val="24"/>
              </w:rPr>
              <w:t>bell</w:t>
            </w:r>
            <w:r w:rsidRPr="00F31314">
              <w:rPr>
                <w:rFonts w:ascii="Calibri" w:eastAsia="Calibri" w:hAnsi="Calibri" w:cs="Calibri"/>
                <w:spacing w:val="-4"/>
                <w:sz w:val="24"/>
              </w:rPr>
              <w:t xml:space="preserve"> </w:t>
            </w:r>
            <w:r w:rsidRPr="00F31314">
              <w:rPr>
                <w:rFonts w:ascii="Calibri" w:eastAsia="Calibri" w:hAnsi="Calibri" w:cs="Calibri"/>
                <w:sz w:val="24"/>
              </w:rPr>
              <w:t>covers</w:t>
            </w:r>
            <w:r w:rsidRPr="00F31314">
              <w:rPr>
                <w:rFonts w:ascii="Calibri" w:eastAsia="Calibri" w:hAnsi="Calibri" w:cs="Calibri"/>
                <w:spacing w:val="-4"/>
                <w:sz w:val="24"/>
              </w:rPr>
              <w:t xml:space="preserve"> </w:t>
            </w:r>
            <w:r w:rsidRPr="00F31314">
              <w:rPr>
                <w:rFonts w:ascii="Calibri" w:eastAsia="Calibri" w:hAnsi="Calibri" w:cs="Calibri"/>
                <w:sz w:val="24"/>
              </w:rPr>
              <w:t>on</w:t>
            </w:r>
            <w:r w:rsidRPr="00F31314">
              <w:rPr>
                <w:rFonts w:ascii="Calibri" w:eastAsia="Calibri" w:hAnsi="Calibri" w:cs="Calibri"/>
                <w:spacing w:val="-3"/>
                <w:sz w:val="24"/>
              </w:rPr>
              <w:t xml:space="preserve"> </w:t>
            </w:r>
            <w:r w:rsidRPr="00F31314">
              <w:rPr>
                <w:rFonts w:ascii="Calibri" w:eastAsia="Calibri" w:hAnsi="Calibri" w:cs="Calibri"/>
                <w:sz w:val="24"/>
              </w:rPr>
              <w:t>woodwind</w:t>
            </w:r>
            <w:r w:rsidRPr="00F31314">
              <w:rPr>
                <w:rFonts w:ascii="Calibri" w:eastAsia="Calibri" w:hAnsi="Calibri" w:cs="Calibri"/>
                <w:spacing w:val="-3"/>
                <w:sz w:val="24"/>
              </w:rPr>
              <w:t xml:space="preserve"> </w:t>
            </w:r>
            <w:r w:rsidRPr="00F31314">
              <w:rPr>
                <w:rFonts w:ascii="Calibri" w:eastAsia="Calibri" w:hAnsi="Calibri" w:cs="Calibri"/>
                <w:sz w:val="24"/>
              </w:rPr>
              <w:t>and</w:t>
            </w:r>
            <w:r w:rsidRPr="00F31314">
              <w:rPr>
                <w:rFonts w:ascii="Calibri" w:eastAsia="Calibri" w:hAnsi="Calibri" w:cs="Calibri"/>
                <w:spacing w:val="-1"/>
                <w:sz w:val="24"/>
              </w:rPr>
              <w:t xml:space="preserve"> </w:t>
            </w:r>
            <w:r w:rsidRPr="00F31314">
              <w:rPr>
                <w:rFonts w:ascii="Calibri" w:eastAsia="Calibri" w:hAnsi="Calibri" w:cs="Calibri"/>
                <w:sz w:val="24"/>
              </w:rPr>
              <w:t>brass</w:t>
            </w:r>
            <w:r w:rsidRPr="00F31314">
              <w:rPr>
                <w:rFonts w:ascii="Calibri" w:eastAsia="Calibri" w:hAnsi="Calibri" w:cs="Calibri"/>
                <w:spacing w:val="-2"/>
                <w:sz w:val="24"/>
              </w:rPr>
              <w:t xml:space="preserve"> </w:t>
            </w:r>
            <w:r w:rsidRPr="00F31314">
              <w:rPr>
                <w:rFonts w:ascii="Calibri" w:eastAsia="Calibri" w:hAnsi="Calibri" w:cs="Calibri"/>
                <w:sz w:val="24"/>
              </w:rPr>
              <w:t>instruments.</w:t>
            </w:r>
          </w:p>
          <w:p w14:paraId="52B604C6" w14:textId="77777777" w:rsidR="00EC5E52" w:rsidRDefault="00EC5E52" w:rsidP="00F31314">
            <w:pPr>
              <w:tabs>
                <w:tab w:val="left" w:pos="900"/>
                <w:tab w:val="left" w:pos="901"/>
              </w:tabs>
              <w:spacing w:before="1"/>
              <w:ind w:right="1244"/>
            </w:pPr>
          </w:p>
        </w:tc>
        <w:tc>
          <w:tcPr>
            <w:tcW w:w="4797" w:type="dxa"/>
          </w:tcPr>
          <w:p w14:paraId="59F3ECAC" w14:textId="3A90E80A" w:rsidR="00057D19" w:rsidRDefault="00057D19" w:rsidP="00402CBE">
            <w:pPr>
              <w:pStyle w:val="ListParagraph"/>
              <w:numPr>
                <w:ilvl w:val="0"/>
                <w:numId w:val="2"/>
              </w:numPr>
              <w:rPr>
                <w:i/>
                <w:iCs/>
              </w:rPr>
            </w:pPr>
            <w:r w:rsidRPr="00735D2C">
              <w:rPr>
                <w:b/>
                <w:bCs/>
                <w:i/>
                <w:iCs/>
              </w:rPr>
              <w:t>No masking required</w:t>
            </w:r>
            <w:r>
              <w:rPr>
                <w:i/>
                <w:iCs/>
              </w:rPr>
              <w:t xml:space="preserve"> </w:t>
            </w:r>
            <w:r w:rsidRPr="00735D2C">
              <w:rPr>
                <w:b/>
                <w:bCs/>
                <w:i/>
                <w:iCs/>
              </w:rPr>
              <w:t>for athletes</w:t>
            </w:r>
            <w:r>
              <w:rPr>
                <w:i/>
                <w:iCs/>
              </w:rPr>
              <w:t xml:space="preserve"> competing in low or moderate contact sports. </w:t>
            </w:r>
            <w:r w:rsidR="005D15DE" w:rsidRPr="00735D2C">
              <w:rPr>
                <w:b/>
                <w:bCs/>
                <w:i/>
                <w:iCs/>
              </w:rPr>
              <w:t>Universal masking required for performers.</w:t>
            </w:r>
          </w:p>
          <w:p w14:paraId="64228F30" w14:textId="56FCA550" w:rsidR="005D15DE" w:rsidRDefault="005D15DE" w:rsidP="00402CBE">
            <w:pPr>
              <w:pStyle w:val="ListParagraph"/>
              <w:numPr>
                <w:ilvl w:val="0"/>
                <w:numId w:val="2"/>
              </w:numPr>
              <w:rPr>
                <w:i/>
                <w:iCs/>
              </w:rPr>
            </w:pPr>
            <w:r w:rsidRPr="00735D2C">
              <w:rPr>
                <w:b/>
                <w:bCs/>
                <w:i/>
                <w:iCs/>
              </w:rPr>
              <w:t>No masks required</w:t>
            </w:r>
            <w:r>
              <w:rPr>
                <w:i/>
                <w:iCs/>
              </w:rPr>
              <w:t xml:space="preserve"> for fully vaccinated participants of </w:t>
            </w:r>
            <w:r w:rsidRPr="0036405E">
              <w:rPr>
                <w:i/>
                <w:iCs/>
                <w:u w:val="single"/>
              </w:rPr>
              <w:t>indoor high contact sports</w:t>
            </w:r>
            <w:r>
              <w:rPr>
                <w:i/>
                <w:iCs/>
              </w:rPr>
              <w:t>. No allowance given for fully vaccinated performers</w:t>
            </w:r>
            <w:r w:rsidR="0036405E">
              <w:rPr>
                <w:i/>
                <w:iCs/>
              </w:rPr>
              <w:t xml:space="preserve"> performing indoors</w:t>
            </w:r>
            <w:r>
              <w:rPr>
                <w:i/>
                <w:iCs/>
              </w:rPr>
              <w:t>.</w:t>
            </w:r>
          </w:p>
          <w:p w14:paraId="3A79395A" w14:textId="0DF3B859" w:rsidR="00402CBE" w:rsidRPr="00057D19" w:rsidRDefault="00402CBE" w:rsidP="00402CBE">
            <w:pPr>
              <w:pStyle w:val="ListParagraph"/>
              <w:numPr>
                <w:ilvl w:val="0"/>
                <w:numId w:val="2"/>
              </w:numPr>
              <w:rPr>
                <w:i/>
                <w:iCs/>
              </w:rPr>
            </w:pPr>
            <w:r w:rsidRPr="00735D2C">
              <w:rPr>
                <w:b/>
                <w:bCs/>
                <w:i/>
                <w:iCs/>
              </w:rPr>
              <w:t xml:space="preserve">Competition is </w:t>
            </w:r>
            <w:r w:rsidR="00057D19" w:rsidRPr="00735D2C">
              <w:rPr>
                <w:b/>
                <w:bCs/>
                <w:i/>
                <w:iCs/>
              </w:rPr>
              <w:t>considered</w:t>
            </w:r>
            <w:r w:rsidRPr="00057D19">
              <w:rPr>
                <w:i/>
                <w:iCs/>
              </w:rPr>
              <w:t xml:space="preserve"> for all sports while no consideration of theater/concerts </w:t>
            </w:r>
            <w:r w:rsidR="00057D19" w:rsidRPr="00057D19">
              <w:rPr>
                <w:i/>
                <w:iCs/>
              </w:rPr>
              <w:t>performances is recognized</w:t>
            </w:r>
            <w:r w:rsidRPr="00057D19">
              <w:rPr>
                <w:i/>
                <w:iCs/>
              </w:rPr>
              <w:t>.</w:t>
            </w:r>
            <w:r w:rsidR="00057D19" w:rsidRPr="00057D19">
              <w:rPr>
                <w:i/>
                <w:iCs/>
              </w:rPr>
              <w:t xml:space="preserve"> Public performances ARE young artists forms of “competition” and are NO LESS valuable than a sports competition.</w:t>
            </w:r>
          </w:p>
          <w:p w14:paraId="187ACF0D" w14:textId="0A4675BB" w:rsidR="00402CBE" w:rsidRPr="00057D19" w:rsidRDefault="00057D19" w:rsidP="00402CBE">
            <w:pPr>
              <w:pStyle w:val="ListParagraph"/>
              <w:numPr>
                <w:ilvl w:val="0"/>
                <w:numId w:val="2"/>
              </w:numPr>
              <w:rPr>
                <w:b/>
                <w:bCs/>
                <w:i/>
                <w:iCs/>
              </w:rPr>
            </w:pPr>
            <w:r>
              <w:rPr>
                <w:i/>
                <w:iCs/>
              </w:rPr>
              <w:t>Cheerleading is noted as a high aerosol generating activity</w:t>
            </w:r>
            <w:r w:rsidR="00B06A1B">
              <w:rPr>
                <w:i/>
                <w:iCs/>
              </w:rPr>
              <w:t>; is allowed to be an unmasked activity</w:t>
            </w:r>
            <w:r w:rsidR="00F86A5F">
              <w:rPr>
                <w:i/>
                <w:iCs/>
              </w:rPr>
              <w:t xml:space="preserve"> INDOORS</w:t>
            </w:r>
            <w:r>
              <w:rPr>
                <w:i/>
                <w:iCs/>
              </w:rPr>
              <w:t xml:space="preserve"> and is given clear guidance for fully vaccinated and unvaccinated participants. </w:t>
            </w:r>
            <w:r w:rsidRPr="00057D19">
              <w:rPr>
                <w:b/>
                <w:bCs/>
                <w:i/>
                <w:iCs/>
              </w:rPr>
              <w:t xml:space="preserve">No such consideration given for singers, </w:t>
            </w:r>
            <w:r w:rsidR="005D15DE" w:rsidRPr="00057D19">
              <w:rPr>
                <w:b/>
                <w:bCs/>
                <w:i/>
                <w:iCs/>
              </w:rPr>
              <w:t>actors,</w:t>
            </w:r>
            <w:r w:rsidRPr="00057D19">
              <w:rPr>
                <w:b/>
                <w:bCs/>
                <w:i/>
                <w:iCs/>
              </w:rPr>
              <w:t xml:space="preserve"> or musicians</w:t>
            </w:r>
            <w:r w:rsidR="00F86A5F">
              <w:rPr>
                <w:b/>
                <w:bCs/>
                <w:i/>
                <w:iCs/>
              </w:rPr>
              <w:t xml:space="preserve"> </w:t>
            </w:r>
            <w:r w:rsidR="00F86A5F">
              <w:rPr>
                <w:i/>
                <w:iCs/>
              </w:rPr>
              <w:t>performing indoors</w:t>
            </w:r>
            <w:r w:rsidRPr="00057D19">
              <w:rPr>
                <w:b/>
                <w:bCs/>
                <w:i/>
                <w:iCs/>
              </w:rPr>
              <w:t>.</w:t>
            </w:r>
          </w:p>
          <w:p w14:paraId="558E6078" w14:textId="57E3E3F9" w:rsidR="0036405E" w:rsidRPr="0036405E" w:rsidRDefault="00057D19" w:rsidP="0036405E">
            <w:pPr>
              <w:pStyle w:val="ListParagraph"/>
              <w:numPr>
                <w:ilvl w:val="0"/>
                <w:numId w:val="2"/>
              </w:numPr>
              <w:rPr>
                <w:i/>
                <w:iCs/>
              </w:rPr>
            </w:pPr>
            <w:r w:rsidRPr="00057D19">
              <w:rPr>
                <w:i/>
                <w:iCs/>
              </w:rPr>
              <w:t>Screening/Testing information is given for “high contact” indoor sports. No such guidance or allowance is provided for Performing Arts</w:t>
            </w:r>
            <w:r w:rsidR="005D15DE">
              <w:rPr>
                <w:i/>
                <w:iCs/>
              </w:rPr>
              <w:t xml:space="preserve"> students</w:t>
            </w:r>
            <w:r w:rsidRPr="00057D19">
              <w:rPr>
                <w:i/>
                <w:iCs/>
              </w:rPr>
              <w:t>.</w:t>
            </w:r>
            <w:r w:rsidR="00B06A1B">
              <w:rPr>
                <w:i/>
                <w:iCs/>
              </w:rPr>
              <w:t xml:space="preserve"> For example, can unvaccinated students in a show/concert get tested just like the athletes?</w:t>
            </w:r>
          </w:p>
          <w:p w14:paraId="68665752" w14:textId="4D1C5A3E" w:rsidR="005D15DE" w:rsidRDefault="005D15DE" w:rsidP="005D15DE">
            <w:pPr>
              <w:rPr>
                <w:i/>
                <w:iCs/>
              </w:rPr>
            </w:pPr>
          </w:p>
          <w:p w14:paraId="03041C43" w14:textId="77777777" w:rsidR="009428A7" w:rsidRDefault="009428A7" w:rsidP="005D15DE">
            <w:pPr>
              <w:rPr>
                <w:b/>
                <w:bCs/>
                <w:i/>
                <w:iCs/>
              </w:rPr>
            </w:pPr>
          </w:p>
          <w:p w14:paraId="4ABFB750" w14:textId="77777777" w:rsidR="00402CBE" w:rsidRDefault="00402CBE" w:rsidP="00402CBE"/>
          <w:p w14:paraId="689355EE" w14:textId="77777777" w:rsidR="00402CBE" w:rsidRDefault="00402CBE" w:rsidP="00402CBE"/>
          <w:p w14:paraId="7D0C7DA4" w14:textId="77777777" w:rsidR="00402CBE" w:rsidRDefault="00402CBE" w:rsidP="00402CBE"/>
          <w:p w14:paraId="33087571" w14:textId="77777777" w:rsidR="00402CBE" w:rsidRDefault="00402CBE" w:rsidP="00402CBE"/>
          <w:p w14:paraId="7B6DA4BB" w14:textId="77777777" w:rsidR="00402CBE" w:rsidRDefault="00402CBE" w:rsidP="00402CBE"/>
          <w:p w14:paraId="4526F7FC" w14:textId="77777777" w:rsidR="00402CBE" w:rsidRDefault="00402CBE" w:rsidP="00402CBE"/>
          <w:p w14:paraId="1F302C81" w14:textId="77777777" w:rsidR="00EC5E52" w:rsidRDefault="00EC5E52" w:rsidP="00402CBE"/>
          <w:p w14:paraId="35E7277F" w14:textId="5B92861F" w:rsidR="00057D19" w:rsidRDefault="00057D19" w:rsidP="00402CBE"/>
        </w:tc>
      </w:tr>
    </w:tbl>
    <w:p w14:paraId="3423841F" w14:textId="127A2950" w:rsidR="00680044" w:rsidRDefault="00680044"/>
    <w:p w14:paraId="6A457450" w14:textId="77777777" w:rsidR="00FA7E29" w:rsidRPr="005D15DE" w:rsidRDefault="00FA7E29" w:rsidP="00FA7E29">
      <w:pPr>
        <w:rPr>
          <w:b/>
          <w:bCs/>
          <w:i/>
          <w:iCs/>
        </w:rPr>
      </w:pPr>
      <w:r w:rsidRPr="005D15DE">
        <w:rPr>
          <w:b/>
          <w:bCs/>
          <w:i/>
          <w:iCs/>
        </w:rPr>
        <w:t xml:space="preserve">Summary: </w:t>
      </w:r>
    </w:p>
    <w:p w14:paraId="058C22C4" w14:textId="77777777" w:rsidR="00FA7E29" w:rsidRDefault="00FA7E29" w:rsidP="00FA7E29">
      <w:pPr>
        <w:rPr>
          <w:i/>
          <w:iCs/>
        </w:rPr>
      </w:pPr>
      <w:r>
        <w:rPr>
          <w:i/>
          <w:iCs/>
        </w:rPr>
        <w:t xml:space="preserve">Not only has DOH taken the time to consider the various aspects of individual sports, but they have also created categories and risk levels for each category. Absolutely no consideration is shown to the variety of performance types or risk levels for each. 2 bullet points are the only guidance given to cover concerts, plays, musicals all of which provide “competition” opportunities for artists the same way athletes are provided opportunities for competition. </w:t>
      </w:r>
    </w:p>
    <w:p w14:paraId="68A62513" w14:textId="77777777" w:rsidR="00FA7E29" w:rsidRPr="005D15DE" w:rsidRDefault="00FA7E29" w:rsidP="00FA7E29">
      <w:pPr>
        <w:rPr>
          <w:i/>
          <w:iCs/>
        </w:rPr>
      </w:pPr>
      <w:r>
        <w:rPr>
          <w:i/>
          <w:iCs/>
        </w:rPr>
        <w:t xml:space="preserve">Performing artists deserve equitable consideration for their extracurricular activities. </w:t>
      </w:r>
    </w:p>
    <w:p w14:paraId="738FAF50" w14:textId="77777777" w:rsidR="00FA7E29" w:rsidRDefault="00FA7E29"/>
    <w:sectPr w:rsidR="00FA7E29" w:rsidSect="0003714A">
      <w:footerReference w:type="default" r:id="rId17"/>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12F7" w14:textId="77777777" w:rsidR="00B4576C" w:rsidRDefault="00B4576C" w:rsidP="00B06A1B">
      <w:pPr>
        <w:spacing w:after="0" w:line="240" w:lineRule="auto"/>
      </w:pPr>
      <w:r>
        <w:separator/>
      </w:r>
    </w:p>
  </w:endnote>
  <w:endnote w:type="continuationSeparator" w:id="0">
    <w:p w14:paraId="09FBEBF1" w14:textId="77777777" w:rsidR="00B4576C" w:rsidRDefault="00B4576C" w:rsidP="00B0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A71" w14:textId="77777777" w:rsidR="00B06A1B" w:rsidRDefault="00B06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1169" w14:textId="77777777" w:rsidR="00B4576C" w:rsidRDefault="00B4576C" w:rsidP="00B06A1B">
      <w:pPr>
        <w:spacing w:after="0" w:line="240" w:lineRule="auto"/>
      </w:pPr>
      <w:r>
        <w:separator/>
      </w:r>
    </w:p>
  </w:footnote>
  <w:footnote w:type="continuationSeparator" w:id="0">
    <w:p w14:paraId="5D3772A7" w14:textId="77777777" w:rsidR="00B4576C" w:rsidRDefault="00B4576C" w:rsidP="00B0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854"/>
    <w:multiLevelType w:val="hybridMultilevel"/>
    <w:tmpl w:val="5798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C3A1E"/>
    <w:multiLevelType w:val="hybridMultilevel"/>
    <w:tmpl w:val="C538A8EE"/>
    <w:lvl w:ilvl="0" w:tplc="1D4EB1C2">
      <w:numFmt w:val="bullet"/>
      <w:lvlText w:val=""/>
      <w:lvlJc w:val="left"/>
      <w:pPr>
        <w:ind w:left="900" w:hanging="360"/>
      </w:pPr>
      <w:rPr>
        <w:rFonts w:ascii="Symbol" w:eastAsia="Symbol" w:hAnsi="Symbol" w:cs="Symbol" w:hint="default"/>
        <w:w w:val="100"/>
        <w:lang w:val="en-US" w:eastAsia="en-US" w:bidi="ar-SA"/>
      </w:rPr>
    </w:lvl>
    <w:lvl w:ilvl="1" w:tplc="0304FDB2">
      <w:numFmt w:val="bullet"/>
      <w:lvlText w:val="o"/>
      <w:lvlJc w:val="left"/>
      <w:pPr>
        <w:ind w:left="1620" w:hanging="360"/>
      </w:pPr>
      <w:rPr>
        <w:rFonts w:ascii="Courier New" w:eastAsia="Courier New" w:hAnsi="Courier New" w:cs="Courier New" w:hint="default"/>
        <w:b w:val="0"/>
        <w:bCs w:val="0"/>
        <w:i w:val="0"/>
        <w:iCs w:val="0"/>
        <w:w w:val="99"/>
        <w:sz w:val="24"/>
        <w:szCs w:val="24"/>
        <w:lang w:val="en-US" w:eastAsia="en-US" w:bidi="ar-SA"/>
      </w:rPr>
    </w:lvl>
    <w:lvl w:ilvl="2" w:tplc="4680EBD0">
      <w:numFmt w:val="bullet"/>
      <w:lvlText w:val=""/>
      <w:lvlJc w:val="left"/>
      <w:pPr>
        <w:ind w:left="2653" w:hanging="361"/>
      </w:pPr>
      <w:rPr>
        <w:rFonts w:ascii="Wingdings" w:eastAsia="Wingdings" w:hAnsi="Wingdings" w:cs="Wingdings" w:hint="default"/>
        <w:b w:val="0"/>
        <w:bCs w:val="0"/>
        <w:i w:val="0"/>
        <w:iCs w:val="0"/>
        <w:w w:val="100"/>
        <w:sz w:val="24"/>
        <w:szCs w:val="24"/>
        <w:lang w:val="en-US" w:eastAsia="en-US" w:bidi="ar-SA"/>
      </w:rPr>
    </w:lvl>
    <w:lvl w:ilvl="3" w:tplc="436E6014">
      <w:numFmt w:val="bullet"/>
      <w:lvlText w:val="•"/>
      <w:lvlJc w:val="left"/>
      <w:pPr>
        <w:ind w:left="1720" w:hanging="361"/>
      </w:pPr>
      <w:rPr>
        <w:rFonts w:hint="default"/>
        <w:lang w:val="en-US" w:eastAsia="en-US" w:bidi="ar-SA"/>
      </w:rPr>
    </w:lvl>
    <w:lvl w:ilvl="4" w:tplc="5454A1FA">
      <w:numFmt w:val="bullet"/>
      <w:lvlText w:val="•"/>
      <w:lvlJc w:val="left"/>
      <w:pPr>
        <w:ind w:left="2660" w:hanging="361"/>
      </w:pPr>
      <w:rPr>
        <w:rFonts w:hint="default"/>
        <w:lang w:val="en-US" w:eastAsia="en-US" w:bidi="ar-SA"/>
      </w:rPr>
    </w:lvl>
    <w:lvl w:ilvl="5" w:tplc="A588DA5A">
      <w:numFmt w:val="bullet"/>
      <w:lvlText w:val="•"/>
      <w:lvlJc w:val="left"/>
      <w:pPr>
        <w:ind w:left="3873" w:hanging="361"/>
      </w:pPr>
      <w:rPr>
        <w:rFonts w:hint="default"/>
        <w:lang w:val="en-US" w:eastAsia="en-US" w:bidi="ar-SA"/>
      </w:rPr>
    </w:lvl>
    <w:lvl w:ilvl="6" w:tplc="53F0A794">
      <w:numFmt w:val="bullet"/>
      <w:lvlText w:val="•"/>
      <w:lvlJc w:val="left"/>
      <w:pPr>
        <w:ind w:left="5086" w:hanging="361"/>
      </w:pPr>
      <w:rPr>
        <w:rFonts w:hint="default"/>
        <w:lang w:val="en-US" w:eastAsia="en-US" w:bidi="ar-SA"/>
      </w:rPr>
    </w:lvl>
    <w:lvl w:ilvl="7" w:tplc="507C3EEE">
      <w:numFmt w:val="bullet"/>
      <w:lvlText w:val="•"/>
      <w:lvlJc w:val="left"/>
      <w:pPr>
        <w:ind w:left="6300" w:hanging="361"/>
      </w:pPr>
      <w:rPr>
        <w:rFonts w:hint="default"/>
        <w:lang w:val="en-US" w:eastAsia="en-US" w:bidi="ar-SA"/>
      </w:rPr>
    </w:lvl>
    <w:lvl w:ilvl="8" w:tplc="82103C18">
      <w:numFmt w:val="bullet"/>
      <w:lvlText w:val="•"/>
      <w:lvlJc w:val="left"/>
      <w:pPr>
        <w:ind w:left="7513"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44"/>
    <w:rsid w:val="00017D29"/>
    <w:rsid w:val="0003714A"/>
    <w:rsid w:val="00057D19"/>
    <w:rsid w:val="000A39BB"/>
    <w:rsid w:val="000F757B"/>
    <w:rsid w:val="0011645A"/>
    <w:rsid w:val="001223AD"/>
    <w:rsid w:val="00131BEE"/>
    <w:rsid w:val="00137187"/>
    <w:rsid w:val="00170AE7"/>
    <w:rsid w:val="0018163D"/>
    <w:rsid w:val="001A07FD"/>
    <w:rsid w:val="001A59B2"/>
    <w:rsid w:val="001E2736"/>
    <w:rsid w:val="00201A03"/>
    <w:rsid w:val="002358BF"/>
    <w:rsid w:val="002A7339"/>
    <w:rsid w:val="002A7AA7"/>
    <w:rsid w:val="002B0ACF"/>
    <w:rsid w:val="003010DF"/>
    <w:rsid w:val="00307380"/>
    <w:rsid w:val="00316D09"/>
    <w:rsid w:val="00323F6F"/>
    <w:rsid w:val="00344B9E"/>
    <w:rsid w:val="00362D34"/>
    <w:rsid w:val="0036405E"/>
    <w:rsid w:val="00393D26"/>
    <w:rsid w:val="003E06DB"/>
    <w:rsid w:val="00402CBE"/>
    <w:rsid w:val="00435E79"/>
    <w:rsid w:val="00444D9C"/>
    <w:rsid w:val="004516E4"/>
    <w:rsid w:val="004B20FC"/>
    <w:rsid w:val="004C618E"/>
    <w:rsid w:val="004E19A5"/>
    <w:rsid w:val="004F078A"/>
    <w:rsid w:val="005271E1"/>
    <w:rsid w:val="00547624"/>
    <w:rsid w:val="005D15DE"/>
    <w:rsid w:val="005E411C"/>
    <w:rsid w:val="00610AE2"/>
    <w:rsid w:val="00615A5E"/>
    <w:rsid w:val="0062729F"/>
    <w:rsid w:val="00637C5B"/>
    <w:rsid w:val="00680044"/>
    <w:rsid w:val="006962C4"/>
    <w:rsid w:val="006A3565"/>
    <w:rsid w:val="006E04B5"/>
    <w:rsid w:val="0072628C"/>
    <w:rsid w:val="00735D2C"/>
    <w:rsid w:val="00750EE4"/>
    <w:rsid w:val="0075279F"/>
    <w:rsid w:val="00783E03"/>
    <w:rsid w:val="007869A7"/>
    <w:rsid w:val="007E1FBA"/>
    <w:rsid w:val="007E4D65"/>
    <w:rsid w:val="00810F0C"/>
    <w:rsid w:val="00854598"/>
    <w:rsid w:val="008C25DA"/>
    <w:rsid w:val="008C79BE"/>
    <w:rsid w:val="009428A7"/>
    <w:rsid w:val="009544D3"/>
    <w:rsid w:val="00997499"/>
    <w:rsid w:val="009C7DF1"/>
    <w:rsid w:val="00A61DBD"/>
    <w:rsid w:val="00A6370C"/>
    <w:rsid w:val="00A75BFF"/>
    <w:rsid w:val="00A963C6"/>
    <w:rsid w:val="00AD4BA0"/>
    <w:rsid w:val="00B01A95"/>
    <w:rsid w:val="00B06A1B"/>
    <w:rsid w:val="00B2051E"/>
    <w:rsid w:val="00B405A8"/>
    <w:rsid w:val="00B4576C"/>
    <w:rsid w:val="00B62D01"/>
    <w:rsid w:val="00B94CAF"/>
    <w:rsid w:val="00BB1485"/>
    <w:rsid w:val="00BB283F"/>
    <w:rsid w:val="00BD5E14"/>
    <w:rsid w:val="00C42546"/>
    <w:rsid w:val="00C4492C"/>
    <w:rsid w:val="00C55D55"/>
    <w:rsid w:val="00CA1BE1"/>
    <w:rsid w:val="00CE0934"/>
    <w:rsid w:val="00D05B68"/>
    <w:rsid w:val="00D233F2"/>
    <w:rsid w:val="00D40788"/>
    <w:rsid w:val="00D50DB2"/>
    <w:rsid w:val="00D55AE0"/>
    <w:rsid w:val="00DA2E7C"/>
    <w:rsid w:val="00DF4B5E"/>
    <w:rsid w:val="00DF5ED2"/>
    <w:rsid w:val="00E34B4A"/>
    <w:rsid w:val="00E558E7"/>
    <w:rsid w:val="00E7163C"/>
    <w:rsid w:val="00E9118E"/>
    <w:rsid w:val="00E9389C"/>
    <w:rsid w:val="00EB2AB8"/>
    <w:rsid w:val="00EB3F0A"/>
    <w:rsid w:val="00EC5E52"/>
    <w:rsid w:val="00EE27BF"/>
    <w:rsid w:val="00F00FAC"/>
    <w:rsid w:val="00F25A53"/>
    <w:rsid w:val="00F26C54"/>
    <w:rsid w:val="00F31314"/>
    <w:rsid w:val="00F70468"/>
    <w:rsid w:val="00F86120"/>
    <w:rsid w:val="00F86A5F"/>
    <w:rsid w:val="00F92F32"/>
    <w:rsid w:val="00FA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241"/>
  <w15:chartTrackingRefBased/>
  <w15:docId w15:val="{18832B30-B054-435A-B243-2CCD663B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31314"/>
    <w:pPr>
      <w:widowControl w:val="0"/>
      <w:autoSpaceDE w:val="0"/>
      <w:autoSpaceDN w:val="0"/>
      <w:spacing w:after="0" w:line="240" w:lineRule="auto"/>
      <w:ind w:left="1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044"/>
    <w:rPr>
      <w:color w:val="0563C1" w:themeColor="hyperlink"/>
      <w:u w:val="single"/>
    </w:rPr>
  </w:style>
  <w:style w:type="character" w:styleId="UnresolvedMention">
    <w:name w:val="Unresolved Mention"/>
    <w:basedOn w:val="DefaultParagraphFont"/>
    <w:uiPriority w:val="99"/>
    <w:semiHidden/>
    <w:unhideWhenUsed/>
    <w:rsid w:val="00680044"/>
    <w:rPr>
      <w:color w:val="605E5C"/>
      <w:shd w:val="clear" w:color="auto" w:fill="E1DFDD"/>
    </w:rPr>
  </w:style>
  <w:style w:type="paragraph" w:styleId="ListParagraph">
    <w:name w:val="List Paragraph"/>
    <w:basedOn w:val="Normal"/>
    <w:uiPriority w:val="1"/>
    <w:qFormat/>
    <w:rsid w:val="00402CBE"/>
    <w:pPr>
      <w:widowControl w:val="0"/>
      <w:autoSpaceDE w:val="0"/>
      <w:autoSpaceDN w:val="0"/>
      <w:spacing w:after="0" w:line="240" w:lineRule="auto"/>
      <w:ind w:left="900" w:hanging="360"/>
    </w:pPr>
    <w:rPr>
      <w:rFonts w:ascii="Calibri" w:eastAsia="Calibri" w:hAnsi="Calibri" w:cs="Calibri"/>
    </w:rPr>
  </w:style>
  <w:style w:type="character" w:customStyle="1" w:styleId="Heading2Char">
    <w:name w:val="Heading 2 Char"/>
    <w:basedOn w:val="DefaultParagraphFont"/>
    <w:link w:val="Heading2"/>
    <w:uiPriority w:val="9"/>
    <w:rsid w:val="00F31314"/>
    <w:rPr>
      <w:rFonts w:ascii="Calibri" w:eastAsia="Calibri" w:hAnsi="Calibri" w:cs="Calibri"/>
      <w:b/>
      <w:bCs/>
      <w:sz w:val="24"/>
      <w:szCs w:val="24"/>
    </w:rPr>
  </w:style>
  <w:style w:type="paragraph" w:styleId="Header">
    <w:name w:val="header"/>
    <w:basedOn w:val="Normal"/>
    <w:link w:val="HeaderChar"/>
    <w:uiPriority w:val="99"/>
    <w:unhideWhenUsed/>
    <w:rsid w:val="00B0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1B"/>
  </w:style>
  <w:style w:type="paragraph" w:styleId="Footer">
    <w:name w:val="footer"/>
    <w:basedOn w:val="Normal"/>
    <w:link w:val="FooterChar"/>
    <w:uiPriority w:val="99"/>
    <w:unhideWhenUsed/>
    <w:rsid w:val="00B0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1B"/>
  </w:style>
  <w:style w:type="paragraph" w:styleId="NoSpacing">
    <w:name w:val="No Spacing"/>
    <w:link w:val="NoSpacingChar"/>
    <w:uiPriority w:val="1"/>
    <w:qFormat/>
    <w:rsid w:val="00B06A1B"/>
    <w:pPr>
      <w:spacing w:after="0" w:line="240" w:lineRule="auto"/>
    </w:pPr>
  </w:style>
  <w:style w:type="character" w:customStyle="1" w:styleId="NoSpacingChar">
    <w:name w:val="No Spacing Char"/>
    <w:basedOn w:val="DefaultParagraphFont"/>
    <w:link w:val="NoSpacing"/>
    <w:uiPriority w:val="1"/>
    <w:rsid w:val="00810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h.wa.gov/Portals/1/Documents/1600/coronavirus/820-201-SportsFitnessGui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h.wa.gov/Portals/1/Documents/1600/coronavirus/820-105-K12Schools2021-202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h.wa.gov/Portals/1/Documents/1600/coronavirus/820-201-SportsFitness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wa.gov/sites/default/files/COVID19%20Performing%20Arts%20Theater%20Sector%20Guidance.pdf" TargetMode="External"/><Relationship Id="rId5" Type="http://schemas.openxmlformats.org/officeDocument/2006/relationships/webSettings" Target="webSettings.xml"/><Relationship Id="rId15" Type="http://schemas.openxmlformats.org/officeDocument/2006/relationships/hyperlink" Target="https://www.doh.wa.gov/Portals/1/Documents/1600/coronavirus/820-201-SportsFitnessGuidance.pdf" TargetMode="External"/><Relationship Id="rId10" Type="http://schemas.openxmlformats.org/officeDocument/2006/relationships/hyperlink" Target="https://www.doh.wa.gov/Portals/1/Documents/1600/coronavirus/820-201-SportsFitnessGuidan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h.wa.gov/Portals/1/Documents/1600/coronavirus/820-201-SportsFitnes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his March 2021 amending proclamation, Governor Inslee stated, “…it is feared that the lack of in-person learning and other school-based supports may result in gaps in students’ learning and development that may last a lifetime”. The performing arts provide school-based supports for some of our most diverse and underserved populations. At a time when our state recognizes the fragile mental health of our students, we urge the Department of Health to recognize that students singing in a concert, playing an instrument, or performing a play or musical are no less valued than the students involved in sports. Just as the state has made it possible for young athletes to fully participate in their chosen activity unmasked, young artists must be given equitable access to their activities of choice. If cheerleaders can yell unmasked indoors, wrestlers can wrestle unmasked, there is no logical reason an actor cannot say lines, a singer sing notes and a musician play an instrument under similar guidance. 
Performing artists deserve equitable consideration of their extracurricular activities. The current guidance provides detailed consideration for student athletes but not for extracurricular performing artists. Performing arts programs deserve the equal consideration for rehearsal and performances that sports are given for practice and competitions. In the attached chart, current guidance is laid side by side with a column summarizing the obvious inequities. On behalf of theater teachers, directors, and other performing arts teachers throughout the state of Washington, we respectfully ask the Washington State Department of Health to revise the guidelines for Performing Arts to more accurately reflect the consideration given to Sporting Activities.
</Abstract>
  <CompanyAddress/>
  <CompanyPhone/>
  <CompanyFax/>
  <CompanyEmail>suzannem@spokaneschools.org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sporting activities guidance to extracurricular performing arts guidance</dc:title>
  <dc:subject>WA State Department of Health K-12 Guidance released August 10, 2021</dc:subject>
  <dc:creator>Suzanne Maguire – Teacher; Board Member, WA State Thespians</dc:creator>
  <cp:keywords/>
  <dc:description/>
  <cp:lastModifiedBy>Suzanne Maguire</cp:lastModifiedBy>
  <cp:revision>99</cp:revision>
  <dcterms:created xsi:type="dcterms:W3CDTF">2021-08-11T18:34:00Z</dcterms:created>
  <dcterms:modified xsi:type="dcterms:W3CDTF">2021-08-11T19:58:00Z</dcterms:modified>
</cp:coreProperties>
</file>